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#10</w:t>
      </w:r>
      <w:r>
        <w:rPr>
          <w:rFonts w:hint="eastAsia" w:eastAsia="宋体"/>
          <w:sz w:val="22"/>
          <w:szCs w:val="22"/>
          <w:lang w:eastAsia="zh-CN"/>
        </w:rPr>
        <w:t>4</w:t>
      </w:r>
      <w:r>
        <w:rPr>
          <w:sz w:val="22"/>
          <w:szCs w:val="22"/>
        </w:rPr>
        <w:t>-e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2100285</w:t>
      </w:r>
    </w:p>
    <w:p>
      <w:pPr>
        <w:snapToGrid w:val="0"/>
        <w:spacing w:line="240" w:lineRule="auto"/>
        <w:rPr>
          <w:rFonts w:ascii="Arial" w:hAnsi="Arial" w:eastAsia="宋体"/>
          <w:b/>
          <w:sz w:val="22"/>
        </w:rPr>
      </w:pPr>
      <w:r>
        <w:rPr>
          <w:rFonts w:ascii="Arial" w:hAnsi="Arial"/>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 xml:space="preserve">January </w:t>
      </w:r>
      <w:r>
        <w:rPr>
          <w:rFonts w:hint="eastAsia" w:ascii="Arial" w:hAnsi="Arial"/>
          <w:b/>
          <w:sz w:val="22"/>
        </w:rPr>
        <w:t>2</w:t>
      </w:r>
      <w:r>
        <w:rPr>
          <w:rFonts w:hint="eastAsia" w:ascii="Arial" w:hAnsi="Arial" w:eastAsia="宋体"/>
          <w:b/>
          <w:sz w:val="22"/>
        </w:rPr>
        <w:t>5</w:t>
      </w:r>
      <w:r>
        <w:rPr>
          <w:rFonts w:hint="eastAsia" w:ascii="Arial" w:hAnsi="Arial"/>
          <w:b/>
          <w:sz w:val="22"/>
          <w:vertAlign w:val="superscript"/>
          <w:lang w:eastAsia="ja-JP"/>
        </w:rPr>
        <w:t>th</w:t>
      </w:r>
      <w:r>
        <w:rPr>
          <w:rFonts w:hint="eastAsia" w:ascii="Arial" w:hAnsi="Arial"/>
          <w:b/>
          <w:sz w:val="22"/>
          <w:lang w:eastAsia="ja-JP"/>
        </w:rPr>
        <w:t xml:space="preserve"> –</w:t>
      </w:r>
      <w:r>
        <w:rPr>
          <w:rFonts w:hint="eastAsia" w:ascii="Arial" w:hAnsi="Arial"/>
          <w:b/>
          <w:sz w:val="22"/>
        </w:rPr>
        <w:t xml:space="preserve"> </w:t>
      </w:r>
      <w:r>
        <w:rPr>
          <w:rFonts w:hint="eastAsia" w:ascii="Arial" w:hAnsi="Arial" w:eastAsia="宋体"/>
          <w:b/>
          <w:sz w:val="22"/>
        </w:rPr>
        <w:t>February 05</w:t>
      </w:r>
      <w:r>
        <w:rPr>
          <w:rFonts w:hint="eastAsia" w:ascii="Arial" w:hAnsi="Arial"/>
          <w:b/>
          <w:sz w:val="22"/>
          <w:vertAlign w:val="superscript"/>
        </w:rPr>
        <w:t>th</w:t>
      </w:r>
      <w:r>
        <w:rPr>
          <w:rFonts w:hint="eastAsia" w:ascii="Arial" w:hAnsi="Arial"/>
          <w:b/>
          <w:sz w:val="22"/>
          <w:lang w:eastAsia="ja-JP"/>
        </w:rPr>
        <w:t>, 202</w:t>
      </w:r>
      <w:r>
        <w:rPr>
          <w:rFonts w:hint="eastAsia" w:ascii="Arial" w:hAnsi="Arial" w:eastAsia="宋体"/>
          <w:b/>
          <w:sz w:val="22"/>
        </w:rPr>
        <w:t>1</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40"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Enhancements on Multi-beam Operation</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8.1.1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5"/>
        </w:numPr>
        <w:tabs>
          <w:tab w:val="clear" w:pos="432"/>
        </w:tabs>
        <w:snapToGrid w:val="0"/>
        <w:spacing w:before="240" w:after="120" w:afterLines="50" w:line="240" w:lineRule="auto"/>
        <w:ind w:left="425" w:hanging="425"/>
        <w:jc w:val="both"/>
        <w:outlineLvl w:val="0"/>
        <w:rPr>
          <w:rFonts w:eastAsia="宋体"/>
          <w:b/>
          <w:sz w:val="28"/>
          <w:szCs w:val="28"/>
        </w:rPr>
      </w:pPr>
      <w:r>
        <w:rPr>
          <w:rFonts w:eastAsia="宋体"/>
          <w:b/>
          <w:sz w:val="28"/>
          <w:szCs w:val="28"/>
        </w:rPr>
        <w:t>Introduction</w:t>
      </w:r>
    </w:p>
    <w:p>
      <w:pPr>
        <w:snapToGrid w:val="0"/>
        <w:spacing w:before="120" w:after="120" w:afterLines="50" w:line="300" w:lineRule="auto"/>
        <w:jc w:val="both"/>
        <w:rPr>
          <w:rFonts w:eastAsia="微软雅黑"/>
          <w:szCs w:val="20"/>
        </w:rPr>
      </w:pPr>
      <w:r>
        <w:rPr>
          <w:rFonts w:hint="eastAsia" w:eastAsia="微软雅黑"/>
          <w:szCs w:val="20"/>
          <w:lang w:val="en-GB"/>
        </w:rPr>
        <w:t>I</w:t>
      </w:r>
      <w:r>
        <w:rPr>
          <w:rFonts w:eastAsia="微软雅黑"/>
          <w:szCs w:val="20"/>
          <w:lang w:val="en-GB"/>
        </w:rPr>
        <w:t>n RAN</w:t>
      </w:r>
      <w:r>
        <w:rPr>
          <w:rFonts w:hint="eastAsia" w:eastAsia="微软雅黑"/>
          <w:szCs w:val="20"/>
        </w:rPr>
        <w:t>1</w:t>
      </w:r>
      <w:r>
        <w:rPr>
          <w:rFonts w:eastAsia="微软雅黑"/>
          <w:szCs w:val="20"/>
          <w:lang w:val="en-GB"/>
        </w:rPr>
        <w:t>#</w:t>
      </w:r>
      <w:r>
        <w:rPr>
          <w:rFonts w:hint="eastAsia" w:eastAsia="微软雅黑"/>
          <w:szCs w:val="20"/>
        </w:rPr>
        <w:t>103</w:t>
      </w:r>
      <w:r>
        <w:rPr>
          <w:rFonts w:eastAsia="微软雅黑"/>
          <w:szCs w:val="20"/>
        </w:rPr>
        <w:t>-</w:t>
      </w:r>
      <w:r>
        <w:rPr>
          <w:rFonts w:hint="eastAsia" w:eastAsia="微软雅黑"/>
          <w:szCs w:val="20"/>
        </w:rPr>
        <w:t>e</w:t>
      </w:r>
      <w:r>
        <w:rPr>
          <w:rFonts w:eastAsia="微软雅黑"/>
          <w:szCs w:val="20"/>
          <w:lang w:val="en-GB"/>
        </w:rPr>
        <w:t xml:space="preserve">, </w:t>
      </w:r>
      <w:r>
        <w:rPr>
          <w:rFonts w:hint="eastAsia" w:eastAsia="微软雅黑"/>
          <w:szCs w:val="20"/>
        </w:rPr>
        <w:t xml:space="preserve">enhancements on </w:t>
      </w:r>
      <w:r>
        <w:rPr>
          <w:rFonts w:hint="eastAsia" w:eastAsia="宋体"/>
        </w:rPr>
        <w:t>mu</w:t>
      </w:r>
      <w:r>
        <w:rPr>
          <w:rFonts w:eastAsia="宋体"/>
        </w:rPr>
        <w:t>l</w:t>
      </w:r>
      <w:r>
        <w:rPr>
          <w:rFonts w:hint="eastAsia" w:eastAsia="宋体"/>
        </w:rPr>
        <w:t>ti-beam operation were discussed and agreements</w:t>
      </w:r>
      <w:r>
        <w:rPr>
          <w:rFonts w:eastAsia="宋体"/>
        </w:rPr>
        <w:t xml:space="preserve"> </w:t>
      </w:r>
      <w:r>
        <w:rPr>
          <w:rFonts w:hint="eastAsia" w:eastAsia="宋体"/>
        </w:rPr>
        <w:t xml:space="preserve">[1] were reached on </w:t>
      </w:r>
      <w:r>
        <w:rPr>
          <w:rFonts w:cs="Times"/>
          <w:szCs w:val="20"/>
        </w:rPr>
        <w:t>unified TCI framework</w:t>
      </w:r>
      <w:r>
        <w:rPr>
          <w:rFonts w:hint="eastAsia" w:eastAsia="宋体" w:cs="Times"/>
          <w:szCs w:val="20"/>
        </w:rPr>
        <w:t xml:space="preserve">, </w:t>
      </w:r>
      <w:r>
        <w:rPr>
          <w:rFonts w:cs="Times"/>
          <w:szCs w:val="20"/>
        </w:rPr>
        <w:t>L1/L2-centric inter-cell mobility, UL fast panel selection</w:t>
      </w:r>
      <w:r>
        <w:rPr>
          <w:rFonts w:hint="eastAsia" w:eastAsia="宋体" w:cs="Times"/>
          <w:szCs w:val="20"/>
        </w:rPr>
        <w:t xml:space="preserve"> and </w:t>
      </w:r>
      <w:r>
        <w:rPr>
          <w:rFonts w:cs="Times"/>
          <w:szCs w:val="20"/>
        </w:rPr>
        <w:t xml:space="preserve">enhancement </w:t>
      </w:r>
      <w:r>
        <w:rPr>
          <w:rFonts w:hint="eastAsia" w:eastAsia="宋体" w:cs="Times"/>
          <w:szCs w:val="20"/>
        </w:rPr>
        <w:t xml:space="preserve">related to </w:t>
      </w:r>
      <w:r>
        <w:rPr>
          <w:rFonts w:cs="Times"/>
          <w:szCs w:val="20"/>
        </w:rPr>
        <w:t>MP-UE</w:t>
      </w:r>
      <w:r>
        <w:rPr>
          <w:rFonts w:hint="eastAsia" w:eastAsia="宋体" w:cs="Times"/>
          <w:szCs w:val="20"/>
        </w:rPr>
        <w:t xml:space="preserve">. </w:t>
      </w:r>
      <w:r>
        <w:rPr>
          <w:rFonts w:hint="eastAsia" w:eastAsia="微软雅黑"/>
          <w:szCs w:val="20"/>
          <w:lang w:val="en-GB"/>
        </w:rPr>
        <w:t xml:space="preserve">In this contribution, </w:t>
      </w:r>
      <w:r>
        <w:rPr>
          <w:rFonts w:hint="eastAsia" w:eastAsia="微软雅黑"/>
          <w:szCs w:val="20"/>
        </w:rPr>
        <w:t xml:space="preserve">we </w:t>
      </w:r>
      <w:r>
        <w:rPr>
          <w:rFonts w:eastAsia="微软雅黑"/>
          <w:szCs w:val="20"/>
        </w:rPr>
        <w:t>analyze</w:t>
      </w:r>
      <w:r>
        <w:rPr>
          <w:rFonts w:hint="eastAsia" w:eastAsia="微软雅黑"/>
          <w:szCs w:val="20"/>
        </w:rPr>
        <w:t xml:space="preserve"> further details and pr</w:t>
      </w:r>
      <w:bookmarkStart w:id="0" w:name="_GoBack"/>
      <w:bookmarkEnd w:id="0"/>
      <w:r>
        <w:rPr>
          <w:rFonts w:hint="eastAsia" w:eastAsia="微软雅黑"/>
          <w:szCs w:val="20"/>
        </w:rPr>
        <w:t xml:space="preserve">ovide </w:t>
      </w:r>
      <w:r>
        <w:rPr>
          <w:rFonts w:eastAsia="微软雅黑"/>
          <w:szCs w:val="20"/>
          <w:lang w:val="en-GB"/>
        </w:rPr>
        <w:t xml:space="preserve">our views </w:t>
      </w:r>
      <w:r>
        <w:rPr>
          <w:rFonts w:hint="eastAsia" w:eastAsia="微软雅黑"/>
          <w:szCs w:val="20"/>
        </w:rPr>
        <w:t>on theses topics.</w:t>
      </w:r>
    </w:p>
    <w:p>
      <w:pPr>
        <w:keepNext/>
        <w:widowControl w:val="0"/>
        <w:numPr>
          <w:ilvl w:val="0"/>
          <w:numId w:val="5"/>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Enhancement for efficient DL/UL beam management</w:t>
      </w:r>
    </w:p>
    <w:p>
      <w:pPr>
        <w:numPr>
          <w:ilvl w:val="1"/>
          <w:numId w:val="5"/>
        </w:numPr>
        <w:tabs>
          <w:tab w:val="clear" w:pos="576"/>
        </w:tabs>
        <w:snapToGrid w:val="0"/>
        <w:spacing w:before="240" w:after="120" w:afterLines="50" w:line="240" w:lineRule="auto"/>
        <w:ind w:left="567" w:hanging="567"/>
        <w:jc w:val="both"/>
        <w:outlineLvl w:val="1"/>
        <w:rPr>
          <w:rFonts w:eastAsia="宋体"/>
          <w:b/>
          <w:sz w:val="24"/>
          <w:szCs w:val="20"/>
        </w:rPr>
      </w:pPr>
      <w:r>
        <w:rPr>
          <w:rFonts w:eastAsia="宋体"/>
          <w:b/>
          <w:sz w:val="24"/>
          <w:szCs w:val="20"/>
        </w:rPr>
        <w:t>Unified TCI framework for both DL and UL</w:t>
      </w:r>
    </w:p>
    <w:p>
      <w:pPr>
        <w:snapToGrid w:val="0"/>
        <w:spacing w:before="120" w:after="120" w:afterLines="50" w:line="300" w:lineRule="auto"/>
        <w:jc w:val="both"/>
        <w:rPr>
          <w:rFonts w:eastAsia="微软雅黑"/>
          <w:szCs w:val="20"/>
        </w:rPr>
      </w:pPr>
      <w:r>
        <w:rPr>
          <w:rFonts w:hint="eastAsia" w:eastAsia="微软雅黑"/>
          <w:szCs w:val="20"/>
          <w:lang w:val="en-GB"/>
        </w:rPr>
        <w:t xml:space="preserve">The objective of unified TCI framework is to achieve a flexible beam </w:t>
      </w:r>
      <w:r>
        <w:rPr>
          <w:rFonts w:eastAsia="微软雅黑"/>
          <w:szCs w:val="20"/>
          <w:lang w:val="en-GB"/>
        </w:rPr>
        <w:t>update</w:t>
      </w:r>
      <w:r>
        <w:rPr>
          <w:rFonts w:hint="eastAsia" w:eastAsia="微软雅黑"/>
          <w:szCs w:val="20"/>
          <w:lang w:val="en-GB"/>
        </w:rPr>
        <w:t xml:space="preserve"> scheme for DL</w:t>
      </w:r>
      <w:r>
        <w:rPr>
          <w:rFonts w:eastAsia="微软雅黑"/>
          <w:szCs w:val="20"/>
          <w:lang w:val="en-GB"/>
        </w:rPr>
        <w:t xml:space="preserve">/UL data and control transmission/reception </w:t>
      </w:r>
      <w:r>
        <w:rPr>
          <w:rFonts w:hint="eastAsia" w:eastAsia="微软雅黑"/>
          <w:szCs w:val="20"/>
          <w:lang w:val="en-GB"/>
        </w:rPr>
        <w:t xml:space="preserve">with low </w:t>
      </w:r>
      <w:r>
        <w:rPr>
          <w:rFonts w:eastAsia="微软雅黑"/>
          <w:szCs w:val="20"/>
          <w:lang w:val="en-GB"/>
        </w:rPr>
        <w:t>signalling</w:t>
      </w:r>
      <w:r>
        <w:rPr>
          <w:rFonts w:hint="eastAsia" w:eastAsia="微软雅黑"/>
          <w:szCs w:val="20"/>
          <w:lang w:val="en-GB"/>
        </w:rPr>
        <w:t xml:space="preserve"> overhead and latency.</w:t>
      </w:r>
      <w:r>
        <w:rPr>
          <w:rFonts w:eastAsia="微软雅黑"/>
          <w:szCs w:val="20"/>
          <w:lang w:val="en-GB"/>
        </w:rPr>
        <w:t xml:space="preserve"> </w:t>
      </w:r>
      <w:r>
        <w:rPr>
          <w:rFonts w:hint="eastAsia" w:eastAsia="微软雅黑"/>
          <w:szCs w:val="20"/>
        </w:rPr>
        <w:t>It has been agreed</w:t>
      </w:r>
      <w:r>
        <w:rPr>
          <w:rFonts w:eastAsia="微软雅黑"/>
          <w:szCs w:val="20"/>
        </w:rPr>
        <w:t xml:space="preserve"> </w:t>
      </w:r>
      <w:r>
        <w:rPr>
          <w:rFonts w:hint="eastAsia" w:eastAsia="微软雅黑"/>
          <w:szCs w:val="20"/>
        </w:rPr>
        <w:t xml:space="preserve">to support both joint and separate beam indication for DL and UL </w:t>
      </w:r>
      <w:r>
        <w:rPr>
          <w:rFonts w:eastAsia="微软雅黑"/>
          <w:szCs w:val="20"/>
          <w:lang w:val="en-GB"/>
        </w:rPr>
        <w:t xml:space="preserve">transmission/reception. </w:t>
      </w:r>
      <w:r>
        <w:rPr>
          <w:rFonts w:hint="eastAsia" w:eastAsia="微软雅黑"/>
          <w:szCs w:val="20"/>
        </w:rPr>
        <w:t xml:space="preserve">The beam indication indicates at least one TCI state that includes at least one source RS to provide a reference for determining QCL </w:t>
      </w:r>
      <w:r>
        <w:rPr>
          <w:rFonts w:eastAsia="微软雅黑"/>
          <w:szCs w:val="20"/>
        </w:rPr>
        <w:t xml:space="preserve">assumption </w:t>
      </w:r>
      <w:r>
        <w:rPr>
          <w:rFonts w:hint="eastAsia" w:eastAsia="微软雅黑"/>
          <w:szCs w:val="20"/>
        </w:rPr>
        <w:t xml:space="preserve">and/or spatial filter. </w:t>
      </w:r>
    </w:p>
    <w:p>
      <w:pPr>
        <w:numPr>
          <w:ilvl w:val="2"/>
          <w:numId w:val="5"/>
        </w:numPr>
        <w:tabs>
          <w:tab w:val="clear" w:pos="720"/>
        </w:tabs>
        <w:snapToGrid w:val="0"/>
        <w:spacing w:before="240" w:after="120" w:afterLines="50" w:line="240" w:lineRule="auto"/>
        <w:ind w:left="607" w:hanging="607"/>
        <w:jc w:val="both"/>
        <w:outlineLvl w:val="2"/>
        <w:rPr>
          <w:b/>
          <w:bCs/>
          <w:sz w:val="21"/>
          <w:szCs w:val="21"/>
        </w:rPr>
      </w:pPr>
      <w:r>
        <w:rPr>
          <w:rFonts w:eastAsia="宋体"/>
          <w:b/>
          <w:bCs/>
          <w:sz w:val="21"/>
          <w:szCs w:val="21"/>
        </w:rPr>
        <w:t>Configuration framework for unified TCI state</w:t>
      </w:r>
    </w:p>
    <w:p>
      <w:pPr>
        <w:snapToGrid w:val="0"/>
        <w:spacing w:before="120" w:after="120" w:afterLines="50" w:line="300" w:lineRule="auto"/>
        <w:jc w:val="both"/>
        <w:rPr>
          <w:rFonts w:eastAsia="微软雅黑"/>
          <w:szCs w:val="20"/>
        </w:rPr>
      </w:pPr>
      <w:r>
        <w:rPr>
          <w:rFonts w:eastAsia="微软雅黑"/>
          <w:szCs w:val="20"/>
        </w:rPr>
        <w:t>In the RAN1#102-e and RAN1#103-e meeting</w:t>
      </w:r>
      <w:r>
        <w:rPr>
          <w:rFonts w:hint="eastAsia" w:eastAsia="微软雅黑"/>
          <w:szCs w:val="20"/>
        </w:rPr>
        <w:t>s</w:t>
      </w:r>
      <w:r>
        <w:rPr>
          <w:rFonts w:eastAsia="微软雅黑"/>
          <w:szCs w:val="20"/>
        </w:rPr>
        <w:t xml:space="preserve">, it has been agreed that both joint and separate TCI state indication </w:t>
      </w:r>
      <w:r>
        <w:rPr>
          <w:rFonts w:hint="eastAsia" w:eastAsia="微软雅黑"/>
          <w:szCs w:val="20"/>
        </w:rPr>
        <w:t xml:space="preserve">are </w:t>
      </w:r>
      <w:r>
        <w:rPr>
          <w:rFonts w:eastAsia="微软雅黑"/>
          <w:szCs w:val="20"/>
        </w:rPr>
        <w:t>supported in Rel-17. Meanwhile, the common RRC pool for joint beam indication has been agreed together as follows. But, RRC pool design for separate DL and UL TCI state indication is still FFS.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cs="Times"/>
                <w:b/>
                <w:bCs/>
                <w:szCs w:val="20"/>
                <w:u w:val="single"/>
              </w:rPr>
              <w:t>Agreement</w:t>
            </w:r>
          </w:p>
          <w:p>
            <w:pPr>
              <w:snapToGrid w:val="0"/>
              <w:spacing w:after="0"/>
              <w:jc w:val="both"/>
              <w:rPr>
                <w:rFonts w:cs="Times"/>
                <w:lang w:val="en-GB"/>
              </w:rPr>
            </w:pPr>
            <w:r>
              <w:rPr>
                <w:rFonts w:cs="Times"/>
                <w:szCs w:val="20"/>
              </w:rPr>
              <w:t>On Rel-17 unified TCI framework:</w:t>
            </w:r>
          </w:p>
          <w:p>
            <w:pPr>
              <w:pStyle w:val="111"/>
              <w:numPr>
                <w:ilvl w:val="0"/>
                <w:numId w:val="6"/>
              </w:numPr>
              <w:snapToGrid w:val="0"/>
              <w:spacing w:after="0" w:line="240" w:lineRule="auto"/>
              <w:ind w:firstLineChars="0"/>
              <w:contextualSpacing/>
              <w:jc w:val="both"/>
              <w:rPr>
                <w:rFonts w:cs="Times"/>
              </w:rPr>
            </w:pPr>
            <w:r>
              <w:rPr>
                <w:rFonts w:cs="Times"/>
              </w:rPr>
              <w:t>A pool of joint DL/UL TCI state is used for joint DL/UL TCI state update (beam indication).</w:t>
            </w:r>
          </w:p>
          <w:p>
            <w:pPr>
              <w:pStyle w:val="111"/>
              <w:numPr>
                <w:ilvl w:val="0"/>
                <w:numId w:val="6"/>
              </w:numPr>
              <w:snapToGrid w:val="0"/>
              <w:spacing w:after="0" w:line="240" w:lineRule="auto"/>
              <w:ind w:firstLineChars="0"/>
              <w:contextualSpacing/>
              <w:jc w:val="both"/>
              <w:rPr>
                <w:rFonts w:cs="Times"/>
              </w:rPr>
            </w:pPr>
            <w:r>
              <w:rPr>
                <w:rFonts w:cs="Times"/>
              </w:rPr>
              <w:t>FFS: The pool for separate DL and UL TCI state update (beam indication)</w:t>
            </w:r>
          </w:p>
          <w:p>
            <w:pPr>
              <w:pStyle w:val="111"/>
              <w:numPr>
                <w:ilvl w:val="0"/>
                <w:numId w:val="6"/>
              </w:numPr>
              <w:snapToGrid w:val="0"/>
              <w:spacing w:after="0" w:line="240" w:lineRule="auto"/>
              <w:ind w:firstLineChars="0"/>
              <w:contextualSpacing/>
              <w:jc w:val="both"/>
              <w:rPr>
                <w:rFonts w:cs="Times"/>
              </w:rPr>
            </w:pPr>
            <w:r>
              <w:rPr>
                <w:rFonts w:cs="Times"/>
              </w:rPr>
              <w:t>Note: Here, TCI state pool refers to a pool configured via higher-layer (RRC) signaling</w:t>
            </w:r>
          </w:p>
          <w:p>
            <w:pPr>
              <w:pStyle w:val="111"/>
              <w:numPr>
                <w:ilvl w:val="0"/>
                <w:numId w:val="6"/>
              </w:numPr>
              <w:snapToGrid w:val="0"/>
              <w:spacing w:after="0" w:line="240" w:lineRule="auto"/>
              <w:ind w:firstLineChars="0"/>
              <w:contextualSpacing/>
              <w:rPr>
                <w:rFonts w:cs="Times"/>
              </w:rPr>
            </w:pPr>
            <w:r>
              <w:rPr>
                <w:rFonts w:cs="Times"/>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tc>
      </w:tr>
    </w:tbl>
    <w:p>
      <w:pPr>
        <w:snapToGrid w:val="0"/>
        <w:spacing w:before="120" w:after="120" w:afterLines="50" w:line="300" w:lineRule="auto"/>
        <w:jc w:val="both"/>
        <w:rPr>
          <w:rFonts w:eastAsia="微软雅黑"/>
          <w:szCs w:val="20"/>
        </w:rPr>
      </w:pPr>
      <w:r>
        <w:rPr>
          <w:rFonts w:hint="eastAsia" w:eastAsia="微软雅黑"/>
          <w:szCs w:val="20"/>
        </w:rPr>
        <w:t xml:space="preserve">Similar to TCI state framework in Rel-15/16, a TCI state pool is configured by RRC </w:t>
      </w:r>
      <w:r>
        <w:rPr>
          <w:rFonts w:eastAsia="微软雅黑"/>
          <w:szCs w:val="20"/>
        </w:rPr>
        <w:t>signaling</w:t>
      </w:r>
      <w:r>
        <w:rPr>
          <w:rFonts w:hint="eastAsia" w:eastAsia="微软雅黑"/>
          <w:szCs w:val="20"/>
        </w:rPr>
        <w:t xml:space="preserve">. </w:t>
      </w:r>
      <w:r>
        <w:rPr>
          <w:rFonts w:eastAsia="微软雅黑"/>
          <w:szCs w:val="20"/>
        </w:rPr>
        <w:t>T</w:t>
      </w:r>
      <w:r>
        <w:rPr>
          <w:rFonts w:hint="eastAsia" w:eastAsia="微软雅黑"/>
          <w:szCs w:val="20"/>
        </w:rPr>
        <w:t xml:space="preserve">hen a set of TCI states </w:t>
      </w:r>
      <w:r>
        <w:rPr>
          <w:rFonts w:eastAsia="微软雅黑"/>
          <w:szCs w:val="20"/>
        </w:rPr>
        <w:t>is</w:t>
      </w:r>
      <w:r>
        <w:rPr>
          <w:rFonts w:hint="eastAsia" w:eastAsia="微软雅黑"/>
          <w:szCs w:val="20"/>
        </w:rPr>
        <w:t xml:space="preserve"> activated by MAC CE from the TCI state pool, and DCI dynamically indicates one codepoint of TCI state(s) base on the MAC</w:t>
      </w:r>
      <w:r>
        <w:rPr>
          <w:rFonts w:eastAsia="微软雅黑"/>
          <w:szCs w:val="20"/>
        </w:rPr>
        <w:t>-</w:t>
      </w:r>
      <w:r>
        <w:rPr>
          <w:rFonts w:hint="eastAsia" w:eastAsia="微软雅黑"/>
          <w:szCs w:val="20"/>
        </w:rPr>
        <w:t xml:space="preserve">CE signalling. </w:t>
      </w:r>
    </w:p>
    <w:p>
      <w:pPr>
        <w:numPr>
          <w:ilvl w:val="0"/>
          <w:numId w:val="7"/>
        </w:numPr>
        <w:snapToGrid w:val="0"/>
        <w:spacing w:before="120" w:after="120" w:afterLines="50" w:line="300" w:lineRule="auto"/>
        <w:jc w:val="both"/>
        <w:rPr>
          <w:rFonts w:eastAsia="微软雅黑"/>
          <w:szCs w:val="20"/>
        </w:rPr>
      </w:pPr>
      <w:r>
        <w:rPr>
          <w:rFonts w:eastAsia="微软雅黑"/>
          <w:szCs w:val="20"/>
          <w:lang w:val="en-GB"/>
        </w:rPr>
        <w:t xml:space="preserve">In order to achieve the unified framework for beam indication of data and control transmission/reception for DL and UL, there should </w:t>
      </w:r>
      <w:r>
        <w:rPr>
          <w:rFonts w:hint="eastAsia" w:eastAsia="微软雅黑"/>
          <w:szCs w:val="20"/>
        </w:rPr>
        <w:t xml:space="preserve">be </w:t>
      </w:r>
      <w:r>
        <w:rPr>
          <w:rFonts w:eastAsia="微软雅黑"/>
          <w:szCs w:val="20"/>
          <w:lang w:val="en-GB"/>
        </w:rPr>
        <w:t>a common RRC pool for unified TCI state(s) for both DL and UL as a baseline</w:t>
      </w:r>
      <w:r>
        <w:rPr>
          <w:rFonts w:hint="eastAsia" w:eastAsia="微软雅黑"/>
          <w:szCs w:val="20"/>
        </w:rPr>
        <w:t>.</w:t>
      </w:r>
      <w:r>
        <w:rPr>
          <w:rFonts w:eastAsia="微软雅黑"/>
          <w:szCs w:val="20"/>
          <w:lang w:val="en-GB"/>
        </w:rPr>
        <w:t xml:space="preserve"> </w:t>
      </w:r>
      <w:r>
        <w:rPr>
          <w:rFonts w:eastAsia="微软雅黑"/>
          <w:szCs w:val="20"/>
        </w:rPr>
        <w:t xml:space="preserve">From the perspective of activated TCI state(s) by MAC-CE, a single common activated TCI pool is sufficient, like reusing the TCI state pool activated for PDSCH by MAC CE. </w:t>
      </w:r>
    </w:p>
    <w:p>
      <w:pPr>
        <w:numPr>
          <w:ilvl w:val="0"/>
          <w:numId w:val="7"/>
        </w:numPr>
        <w:snapToGrid w:val="0"/>
        <w:spacing w:before="120" w:after="120" w:afterLines="50" w:line="300" w:lineRule="auto"/>
        <w:jc w:val="both"/>
        <w:rPr>
          <w:rFonts w:eastAsia="微软雅黑"/>
          <w:szCs w:val="20"/>
        </w:rPr>
      </w:pPr>
      <w:r>
        <w:rPr>
          <w:rFonts w:eastAsia="微软雅黑"/>
          <w:szCs w:val="20"/>
        </w:rPr>
        <w:t>On the other hand, if we have two separate pools for separate DL and UL TCI state indication, a total independent configuration for UL TCI state (related to all candidate UL beam</w:t>
      </w:r>
      <w:r>
        <w:rPr>
          <w:rFonts w:hint="eastAsia" w:eastAsia="微软雅黑"/>
          <w:szCs w:val="20"/>
        </w:rPr>
        <w:t>s</w:t>
      </w:r>
      <w:r>
        <w:rPr>
          <w:rFonts w:eastAsia="微软雅黑"/>
          <w:szCs w:val="20"/>
        </w:rPr>
        <w:t xml:space="preserve">, e.g., up to 64 states) is needed, like Rel-15/16 spatialRelationInfo configuration. It means that RRC overhead is huge and is totally redundant while considering DL TCI state configuration. </w:t>
      </w:r>
    </w:p>
    <w:p>
      <w:pPr>
        <w:snapToGrid w:val="0"/>
        <w:spacing w:before="120" w:after="120" w:afterLines="50" w:line="300" w:lineRule="auto"/>
        <w:jc w:val="both"/>
        <w:rPr>
          <w:rFonts w:eastAsia="微软雅黑"/>
          <w:szCs w:val="20"/>
        </w:rPr>
      </w:pPr>
      <w:r>
        <w:rPr>
          <w:rFonts w:eastAsia="微软雅黑"/>
          <w:szCs w:val="20"/>
        </w:rPr>
        <w:t xml:space="preserve">Consequently, we support a common pool for separate DL and UL TCI state update. For backward compatibility, the UL specific parameter (i.e., UL power control parameter) can be independently configured and be mapped with a TCI state, if required, instead of adding the UL specific parameter (i.e., UL power control parameter) directly into RRC parameter </w:t>
      </w:r>
      <w:r>
        <w:rPr>
          <w:i/>
        </w:rPr>
        <w:t>TCI-State</w:t>
      </w:r>
      <w:r>
        <w:rPr>
          <w:rFonts w:eastAsia="微软雅黑"/>
          <w:szCs w:val="20"/>
        </w:rPr>
        <w:t>. In such case, there may be no further change for the current RRC structure of TCI state.</w:t>
      </w:r>
    </w:p>
    <w:p>
      <w:pPr>
        <w:numPr>
          <w:ilvl w:val="0"/>
          <w:numId w:val="7"/>
        </w:numPr>
        <w:snapToGrid w:val="0"/>
        <w:spacing w:before="120" w:after="120" w:afterLines="50" w:line="300" w:lineRule="auto"/>
        <w:jc w:val="both"/>
        <w:rPr>
          <w:rFonts w:eastAsia="微软雅黑"/>
          <w:szCs w:val="20"/>
        </w:rPr>
      </w:pPr>
      <w:r>
        <w:rPr>
          <w:rFonts w:eastAsia="微软雅黑"/>
          <w:szCs w:val="20"/>
        </w:rPr>
        <w:t>Specifically, UL power control parameter(s) involving P0/alpha, PL RS, and closed loop index. The PL RS can be applied to all type of UL channel/RSs, but P0/alpha and closed loop index should be channel/RS-specific as in Rel-15/16. Therefore, at least P0/alpha and closed loop index should be further provided per channel/RS</w:t>
      </w:r>
      <w:r>
        <w:rPr>
          <w:rFonts w:hint="eastAsia" w:eastAsia="微软雅黑"/>
          <w:szCs w:val="20"/>
        </w:rPr>
        <w:t>.</w:t>
      </w:r>
      <w:r>
        <w:rPr>
          <w:rFonts w:eastAsia="微软雅黑"/>
          <w:szCs w:val="20"/>
        </w:rPr>
        <w:t xml:space="preserve"> </w:t>
      </w:r>
    </w:p>
    <w:p>
      <w:pPr>
        <w:numPr>
          <w:ilvl w:val="0"/>
          <w:numId w:val="0"/>
        </w:numPr>
        <w:snapToGrid w:val="0"/>
        <w:spacing w:before="60" w:beforeLines="25" w:after="60" w:afterLines="25" w:line="300" w:lineRule="auto"/>
        <w:ind w:left="0" w:firstLine="0"/>
        <w:jc w:val="both"/>
        <w:rPr>
          <w:lang w:val="en-GB"/>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w:t>
      </w:r>
    </w:p>
    <w:p>
      <w:pPr>
        <w:pStyle w:val="99"/>
        <w:numPr>
          <w:ilvl w:val="0"/>
          <w:numId w:val="7"/>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rPr>
        <w:t xml:space="preserve">A </w:t>
      </w:r>
      <w:r>
        <w:rPr>
          <w:rFonts w:eastAsia="微软雅黑"/>
          <w:i/>
          <w:iCs/>
          <w:szCs w:val="20"/>
        </w:rPr>
        <w:t xml:space="preserve">TCI state </w:t>
      </w:r>
      <w:r>
        <w:rPr>
          <w:rFonts w:hint="eastAsia" w:eastAsia="微软雅黑"/>
          <w:i/>
          <w:iCs/>
          <w:szCs w:val="20"/>
        </w:rPr>
        <w:t xml:space="preserve">applied to UL </w:t>
      </w:r>
      <w:r>
        <w:rPr>
          <w:rFonts w:eastAsia="微软雅黑"/>
          <w:i/>
          <w:iCs/>
          <w:szCs w:val="20"/>
        </w:rPr>
        <w:t xml:space="preserve">should be associated with UL power control parameter(s) involving P0/alpha, PL RS, and closed loop index. </w:t>
      </w:r>
    </w:p>
    <w:p>
      <w:pPr>
        <w:pStyle w:val="99"/>
        <w:numPr>
          <w:ilvl w:val="1"/>
          <w:numId w:val="7"/>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At least P0/alpha and closed loop index should be further provided per channel/RS</w:t>
      </w:r>
    </w:p>
    <w:p>
      <w:pPr>
        <w:pStyle w:val="99"/>
        <w:numPr>
          <w:ilvl w:val="0"/>
          <w:numId w:val="7"/>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Note that it was agreed for the above on joint DL/UL TCI state update in RAN1#103</w:t>
      </w:r>
      <w:r>
        <w:rPr>
          <w:rFonts w:hint="eastAsia" w:eastAsia="微软雅黑"/>
          <w:i/>
          <w:iCs/>
          <w:szCs w:val="20"/>
          <w:lang w:val="en-GB"/>
        </w:rPr>
        <w:t>-</w:t>
      </w:r>
      <w:r>
        <w:rPr>
          <w:rFonts w:eastAsia="微软雅黑"/>
          <w:i/>
          <w:iCs/>
          <w:szCs w:val="20"/>
          <w:lang w:val="en-GB"/>
        </w:rPr>
        <w:t>e</w:t>
      </w:r>
    </w:p>
    <w:p>
      <w:pPr>
        <w:widowControl w:val="0"/>
        <w:numPr>
          <w:ilvl w:val="2"/>
          <w:numId w:val="5"/>
        </w:numPr>
        <w:tabs>
          <w:tab w:val="clear" w:pos="720"/>
        </w:tabs>
        <w:snapToGrid w:val="0"/>
        <w:spacing w:before="240" w:after="120" w:afterLines="50" w:line="240" w:lineRule="auto"/>
        <w:ind w:left="607" w:hanging="607"/>
        <w:jc w:val="both"/>
        <w:outlineLvl w:val="2"/>
        <w:rPr>
          <w:rFonts w:eastAsia="宋体"/>
          <w:b/>
          <w:bCs/>
          <w:kern w:val="2"/>
          <w:sz w:val="24"/>
          <w:szCs w:val="24"/>
        </w:rPr>
      </w:pPr>
      <w:r>
        <w:rPr>
          <w:rFonts w:hint="eastAsia" w:eastAsia="宋体"/>
          <w:b/>
          <w:bCs/>
          <w:kern w:val="2"/>
          <w:sz w:val="24"/>
          <w:szCs w:val="24"/>
        </w:rPr>
        <w:t>Common beam update</w:t>
      </w:r>
      <w:r>
        <w:rPr>
          <w:rFonts w:eastAsia="宋体"/>
          <w:b/>
          <w:bCs/>
          <w:kern w:val="2"/>
          <w:sz w:val="24"/>
          <w:szCs w:val="24"/>
        </w:rPr>
        <w:t xml:space="preserve"> cross carriers</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In RAN1#103</w:t>
      </w:r>
      <w:r>
        <w:rPr>
          <w:rFonts w:eastAsia="微软雅黑"/>
          <w:szCs w:val="20"/>
        </w:rPr>
        <w:t>-</w:t>
      </w:r>
      <w:r>
        <w:rPr>
          <w:rFonts w:hint="eastAsia" w:eastAsia="微软雅黑"/>
          <w:szCs w:val="20"/>
        </w:rPr>
        <w:t>e</w:t>
      </w:r>
      <w:r>
        <w:rPr>
          <w:rFonts w:eastAsia="微软雅黑"/>
          <w:szCs w:val="20"/>
        </w:rPr>
        <w:t xml:space="preserve"> </w:t>
      </w:r>
      <w:r>
        <w:rPr>
          <w:rFonts w:hint="eastAsia" w:eastAsia="微软雅黑"/>
          <w:szCs w:val="20"/>
        </w:rPr>
        <w:t xml:space="preserve">meeting, </w:t>
      </w:r>
      <w:r>
        <w:rPr>
          <w:rFonts w:eastAsia="微软雅黑"/>
          <w:szCs w:val="20"/>
        </w:rPr>
        <w:t xml:space="preserve">a general framework for </w:t>
      </w:r>
      <w:r>
        <w:rPr>
          <w:rFonts w:hint="eastAsia" w:eastAsia="微软雅黑"/>
          <w:szCs w:val="20"/>
        </w:rPr>
        <w:t xml:space="preserve">common DL/UL beam indication cross </w:t>
      </w:r>
      <w:r>
        <w:rPr>
          <w:rFonts w:hint="eastAsia" w:eastAsia="微软雅黑"/>
          <w:szCs w:val="20"/>
          <w:lang w:val="en-US" w:eastAsia="zh-CN"/>
        </w:rPr>
        <w:t>carriers (</w:t>
      </w:r>
      <w:r>
        <w:rPr>
          <w:rFonts w:hint="eastAsia" w:eastAsia="微软雅黑"/>
          <w:szCs w:val="20"/>
        </w:rPr>
        <w:t>CCs</w:t>
      </w:r>
      <w:r>
        <w:rPr>
          <w:rFonts w:hint="eastAsia" w:eastAsia="微软雅黑"/>
          <w:szCs w:val="20"/>
          <w:lang w:val="en-US" w:eastAsia="zh-CN"/>
        </w:rPr>
        <w:t>)</w:t>
      </w:r>
      <w:r>
        <w:rPr>
          <w:rFonts w:hint="eastAsia" w:eastAsia="微软雅黑"/>
          <w:szCs w:val="20"/>
        </w:rPr>
        <w:t xml:space="preserve"> under the unified TCI framework has been agreed</w:t>
      </w:r>
      <w:r>
        <w:rPr>
          <w:rFonts w:eastAsia="微软雅黑"/>
          <w:szCs w:val="20"/>
        </w:rPr>
        <w:t xml:space="preserve"> as follows. In this subsection, we further discuss the details on common beam update cross </w:t>
      </w:r>
      <w:r>
        <w:rPr>
          <w:rFonts w:hint="eastAsia" w:eastAsia="微软雅黑"/>
          <w:szCs w:val="20"/>
          <w:lang w:val="en-US" w:eastAsia="zh-CN"/>
        </w:rPr>
        <w:t>CC</w:t>
      </w:r>
      <w:r>
        <w:rPr>
          <w:rFonts w:eastAsia="微软雅黑"/>
          <w:szCs w:val="20"/>
        </w:rPr>
        <w:t>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eastAsiaTheme="minorEastAsia"/>
                <w:b/>
                <w:bCs/>
                <w:szCs w:val="20"/>
                <w:u w:val="single"/>
              </w:rPr>
            </w:pPr>
            <w:r>
              <w:rPr>
                <w:rFonts w:hint="eastAsia" w:cs="Times"/>
                <w:b/>
                <w:bCs/>
                <w:szCs w:val="20"/>
                <w:u w:val="single"/>
              </w:rPr>
              <w:t>Agreement</w:t>
            </w:r>
          </w:p>
          <w:p>
            <w:pPr>
              <w:snapToGrid w:val="0"/>
              <w:spacing w:after="0"/>
              <w:jc w:val="both"/>
              <w:rPr>
                <w:rFonts w:ascii="Times" w:hAnsi="Times" w:eastAsia="Batang" w:cs="Times"/>
                <w:szCs w:val="24"/>
                <w:lang w:val="en-GB" w:eastAsia="en-US"/>
              </w:rPr>
            </w:pPr>
            <w:r>
              <w:rPr>
                <w:rFonts w:ascii="Times" w:hAnsi="Times" w:eastAsia="Batang" w:cs="Times"/>
                <w:szCs w:val="20"/>
                <w:lang w:val="en-GB" w:eastAsia="en-US"/>
              </w:rPr>
              <w:t>On Rel-17 unified TCI framework, support common TCI state ID update and activation to provide common QCL information and/or common UL TX spatial filter(s) across a set of configured CCs:</w:t>
            </w:r>
          </w:p>
          <w:p>
            <w:pPr>
              <w:numPr>
                <w:ilvl w:val="0"/>
                <w:numId w:val="8"/>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The above applies to intra-band CA</w:t>
            </w:r>
          </w:p>
          <w:p>
            <w:pPr>
              <w:numPr>
                <w:ilvl w:val="0"/>
                <w:numId w:val="8"/>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The above applies to joint DL/UL and separate DL/UL beam indications </w:t>
            </w:r>
          </w:p>
          <w:p>
            <w:pPr>
              <w:numPr>
                <w:ilvl w:val="0"/>
                <w:numId w:val="8"/>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Just as Rel.16, the RS in the TCI state that provides QCL-TypeA [or QCL-TypeB] shall be in the same CC as the target channel or RS</w:t>
            </w:r>
          </w:p>
          <w:p>
            <w:pPr>
              <w:numPr>
                <w:ilvl w:val="0"/>
                <w:numId w:val="8"/>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The common TCI state ID implies that the same/single RS determined according to the TCI state(s) indicated by a common TCI state ID is used to provide QCL Type-D indication and to determine UL TX spatial filter across the set of configured CCs</w:t>
            </w:r>
          </w:p>
          <w:p>
            <w:pPr>
              <w:numPr>
                <w:ilvl w:val="0"/>
                <w:numId w:val="8"/>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FFS: The above also applies to inter-band CA </w:t>
            </w:r>
          </w:p>
          <w:p>
            <w:pPr>
              <w:numPr>
                <w:ilvl w:val="0"/>
                <w:numId w:val="8"/>
              </w:numPr>
              <w:snapToGrid w:val="0"/>
              <w:spacing w:after="0"/>
              <w:jc w:val="both"/>
              <w:rPr>
                <w:rFonts w:ascii="Times" w:hAnsi="Times" w:eastAsia="Batang" w:cs="Times"/>
                <w:szCs w:val="24"/>
                <w:lang w:val="en-GB" w:eastAsia="en-US"/>
              </w:rPr>
            </w:pPr>
            <w:r>
              <w:rPr>
                <w:rFonts w:ascii="Times" w:hAnsi="Times" w:eastAsia="Batang" w:cs="Times"/>
                <w:szCs w:val="24"/>
                <w:lang w:val="en-GB" w:eastAsia="en-US"/>
              </w:rPr>
              <w:t xml:space="preserve">FFS: TCI state pool for CA </w:t>
            </w:r>
          </w:p>
          <w:p>
            <w:pPr>
              <w:numPr>
                <w:ilvl w:val="1"/>
                <w:numId w:val="9"/>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rPr>
              <w:t xml:space="preserve">Opt-1: sharing a single RRC TCI state pool for the set of configured CCs, e.g., cell-group TCI state pool, or reuse TCI state pool for PDSCH in a reference cell; </w:t>
            </w:r>
            <w:r>
              <w:rPr>
                <w:rFonts w:ascii="Times" w:hAnsi="Times" w:eastAsia="Batang" w:cs="Times"/>
                <w:szCs w:val="24"/>
                <w:shd w:val="clear" w:color="auto" w:fill="FFFFFF"/>
                <w:lang w:val="en-GB" w:eastAsia="en-US"/>
              </w:rPr>
              <w:t>A CC ID for QCL-Type A RS is absent in a TCI state, and the CC ID for QCL-Type A RS is determined according to a target CC of the TCI state.</w:t>
            </w:r>
          </w:p>
          <w:p>
            <w:pPr>
              <w:numPr>
                <w:ilvl w:val="2"/>
                <w:numId w:val="9"/>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eastAsia="en-US"/>
              </w:rPr>
              <w:t>FFS: Whether it is possible that a single TCI state in the pool includes all source RSs from different CCs</w:t>
            </w:r>
          </w:p>
          <w:p>
            <w:pPr>
              <w:numPr>
                <w:ilvl w:val="1"/>
                <w:numId w:val="9"/>
              </w:numPr>
              <w:snapToGrid w:val="0"/>
              <w:spacing w:after="0"/>
              <w:contextualSpacing/>
              <w:jc w:val="both"/>
              <w:rPr>
                <w:rFonts w:ascii="Times" w:hAnsi="Times" w:eastAsia="Batang" w:cs="Times"/>
                <w:szCs w:val="24"/>
                <w:lang w:val="en-GB" w:eastAsia="en-US"/>
              </w:rPr>
            </w:pPr>
            <w:r>
              <w:rPr>
                <w:rFonts w:ascii="Times" w:hAnsi="Times" w:eastAsia="Batang" w:cs="Times"/>
                <w:szCs w:val="24"/>
                <w:lang w:val="en-GB"/>
              </w:rPr>
              <w:t>Opt-2: configuring RRC TCI state pool per individual CC</w:t>
            </w:r>
          </w:p>
          <w:p>
            <w:pPr>
              <w:numPr>
                <w:ilvl w:val="0"/>
                <w:numId w:val="8"/>
              </w:numPr>
              <w:snapToGrid w:val="0"/>
              <w:spacing w:after="0"/>
              <w:jc w:val="both"/>
              <w:rPr>
                <w:rFonts w:eastAsia="微软雅黑"/>
                <w:szCs w:val="20"/>
              </w:rPr>
            </w:pPr>
            <w:r>
              <w:rPr>
                <w:rFonts w:ascii="Times" w:hAnsi="Times" w:eastAsia="Batang" w:cs="Times"/>
                <w:szCs w:val="24"/>
                <w:lang w:val="en-GB" w:eastAsia="en-US"/>
              </w:rPr>
              <w:t>FFS: Whether the Rel-17 common beam update across multiple CCs applies to beam indication for single channel (e.g. PDSCH only, single CORESET), a subset of channels, or all channels</w:t>
            </w:r>
          </w:p>
        </w:tc>
      </w:tr>
    </w:tbl>
    <w:p>
      <w:pPr>
        <w:overflowPunct w:val="0"/>
        <w:autoSpaceDE w:val="0"/>
        <w:autoSpaceDN w:val="0"/>
        <w:adjustRightInd w:val="0"/>
        <w:snapToGrid w:val="0"/>
        <w:spacing w:before="60" w:beforeLines="25" w:after="120" w:line="300" w:lineRule="auto"/>
        <w:jc w:val="both"/>
        <w:textAlignment w:val="baseline"/>
        <w:rPr>
          <w:rFonts w:eastAsia="宋体"/>
        </w:rPr>
      </w:pPr>
      <w:r>
        <w:rPr>
          <w:rFonts w:eastAsia="微软雅黑"/>
          <w:szCs w:val="20"/>
        </w:rPr>
        <w:t xml:space="preserve">As a remaining issue, the TCI state pool for CA is still FFS, and </w:t>
      </w:r>
      <w:r>
        <w:rPr>
          <w:rFonts w:eastAsia="宋体"/>
        </w:rPr>
        <w:t>the following two candidate solutions for TCI state pool for CA ha</w:t>
      </w:r>
      <w:r>
        <w:rPr>
          <w:rFonts w:hint="eastAsia" w:eastAsia="宋体"/>
          <w:lang w:val="en-US" w:eastAsia="zh-CN"/>
        </w:rPr>
        <w:t>ve</w:t>
      </w:r>
      <w:r>
        <w:rPr>
          <w:rFonts w:eastAsia="宋体"/>
        </w:rPr>
        <w:t xml:space="preserve"> been identified:</w:t>
      </w:r>
    </w:p>
    <w:p>
      <w:pPr>
        <w:pStyle w:val="111"/>
        <w:numPr>
          <w:ilvl w:val="0"/>
          <w:numId w:val="7"/>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ascii="Times" w:hAnsi="Times" w:eastAsia="Batang" w:cs="Times"/>
          <w:szCs w:val="24"/>
          <w:lang w:val="en-GB"/>
        </w:rPr>
        <w:t xml:space="preserve">Opt-1: sharing a single RRC TCI state pool for the set of configured CCs; </w:t>
      </w:r>
    </w:p>
    <w:p>
      <w:pPr>
        <w:pStyle w:val="111"/>
        <w:numPr>
          <w:ilvl w:val="0"/>
          <w:numId w:val="7"/>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ascii="Times" w:hAnsi="Times" w:eastAsia="Batang" w:cs="Times"/>
          <w:szCs w:val="24"/>
          <w:lang w:val="en-GB"/>
        </w:rPr>
        <w:t>Opt-2: configuring RRC TCI state pool per individual CC</w:t>
      </w:r>
      <w:r>
        <w:rPr>
          <w:rFonts w:hint="eastAsia" w:eastAsia="宋体"/>
        </w:rPr>
        <w:t xml:space="preserve">. </w:t>
      </w:r>
    </w:p>
    <w:p>
      <w:pPr>
        <w:overflowPunct w:val="0"/>
        <w:autoSpaceDE w:val="0"/>
        <w:autoSpaceDN w:val="0"/>
        <w:adjustRightInd w:val="0"/>
        <w:snapToGrid w:val="0"/>
        <w:spacing w:before="60" w:beforeLines="25" w:after="120" w:line="300" w:lineRule="auto"/>
        <w:jc w:val="both"/>
        <w:textAlignment w:val="baseline"/>
        <w:rPr>
          <w:rFonts w:eastAsia="宋体"/>
        </w:rPr>
      </w:pPr>
      <w:r>
        <w:rPr>
          <w:rFonts w:hint="eastAsia" w:eastAsia="宋体"/>
        </w:rPr>
        <w:t>Specifically,</w:t>
      </w:r>
      <w:r>
        <w:rPr>
          <w:rFonts w:eastAsia="宋体"/>
        </w:rPr>
        <w:t xml:space="preserve"> we have the following analysis about the two candidate options above: </w:t>
      </w:r>
    </w:p>
    <w:p>
      <w:pPr>
        <w:pStyle w:val="111"/>
        <w:numPr>
          <w:ilvl w:val="0"/>
          <w:numId w:val="7"/>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eastAsia="宋体"/>
        </w:rPr>
        <w:t>T</w:t>
      </w:r>
      <w:r>
        <w:rPr>
          <w:rFonts w:hint="eastAsia" w:eastAsia="宋体"/>
        </w:rPr>
        <w:t>he signaling overhead of RRC configuration for multiple CCs and multiple BWPs is summarized in Figure 1.</w:t>
      </w:r>
      <w:r>
        <w:rPr>
          <w:rFonts w:eastAsia="宋体"/>
        </w:rPr>
        <w:t xml:space="preserve"> </w:t>
      </w:r>
      <w:r>
        <w:t>It can be observed</w:t>
      </w:r>
      <w:r>
        <w:rPr>
          <w:rFonts w:hint="eastAsia" w:eastAsia="宋体"/>
        </w:rPr>
        <w:t xml:space="preserve"> that</w:t>
      </w:r>
      <w:r>
        <w:rPr>
          <w:rFonts w:eastAsia="宋体"/>
        </w:rPr>
        <w:t xml:space="preserve"> with the increase of number of CCs, RRC overhead in Opt-2 rises sharply. For instance, in the worst case, the RRC overhead can be up to </w:t>
      </w:r>
      <w:r>
        <w:rPr>
          <w:rFonts w:hint="eastAsia" w:eastAsia="宋体"/>
        </w:rPr>
        <w:t>143.36</w:t>
      </w:r>
      <w:r>
        <w:rPr>
          <w:rFonts w:eastAsia="宋体"/>
        </w:rPr>
        <w:t xml:space="preserve"> kB when all of 32 CCs have been configured with respective TCI state pool. But, on the other hand, due to sharing the same RRC pool, the RRC overhead in Opt-1 can be kept unchanged, and only the RRC overhead of 1</w:t>
      </w:r>
      <w:r>
        <w:rPr>
          <w:rFonts w:hint="eastAsia" w:eastAsia="宋体"/>
        </w:rPr>
        <w:t>.12</w:t>
      </w:r>
      <w:r>
        <w:rPr>
          <w:rFonts w:eastAsia="宋体"/>
        </w:rPr>
        <w:t xml:space="preserve"> kB is needed. It means that compared with Opt-2, the RRC overhead in Opt-1 can be saved significantly.</w:t>
      </w:r>
    </w:p>
    <w:p>
      <w:pPr>
        <w:pStyle w:val="111"/>
        <w:numPr>
          <w:ilvl w:val="0"/>
          <w:numId w:val="7"/>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eastAsia="宋体"/>
        </w:rPr>
        <w:t>However, from the perspective of RRC configuration flexibility, it is no doubt that the Opt-2 outperforms the Opt-1 due to the fact that the RS ID in the TCI state can be configured per CC. But, considering the unified TCI state framework, the same beam is applied to both DL and UL channel across a CC group, and it is natural that the identical RS configuration (e.g., TRS) is configured for the CC group. Therefore, gNB only need</w:t>
      </w:r>
      <w:r>
        <w:rPr>
          <w:rFonts w:hint="eastAsia" w:eastAsia="宋体"/>
        </w:rPr>
        <w:t>s</w:t>
      </w:r>
      <w:r>
        <w:rPr>
          <w:rFonts w:eastAsia="宋体"/>
        </w:rPr>
        <w:t xml:space="preserve"> to guarantee that the RS (e.g., TRS) with same ID share</w:t>
      </w:r>
      <w:r>
        <w:rPr>
          <w:rFonts w:hint="eastAsia" w:eastAsia="宋体"/>
        </w:rPr>
        <w:t>s</w:t>
      </w:r>
      <w:r>
        <w:rPr>
          <w:rFonts w:eastAsia="宋体"/>
        </w:rPr>
        <w:t xml:space="preserve"> the same Tx beam across the CC group, and so the loss related to RRC configuration flexibility should be acceptable.</w:t>
      </w:r>
    </w:p>
    <w:p>
      <w:pPr>
        <w:overflowPunct w:val="0"/>
        <w:autoSpaceDE w:val="0"/>
        <w:autoSpaceDN w:val="0"/>
        <w:adjustRightInd w:val="0"/>
        <w:snapToGrid w:val="0"/>
        <w:spacing w:before="60" w:beforeLines="25" w:after="120" w:line="300" w:lineRule="auto"/>
        <w:jc w:val="center"/>
        <w:textAlignment w:val="baseline"/>
      </w:pPr>
      <w:r>
        <w:drawing>
          <wp:inline distT="0" distB="0" distL="114300" distR="114300">
            <wp:extent cx="4075430" cy="2498090"/>
            <wp:effectExtent l="0" t="0" r="8890" b="127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4"/>
                    <a:srcRect l="667" t="2585" r="2520" b="5956"/>
                    <a:stretch>
                      <a:fillRect/>
                    </a:stretch>
                  </pic:blipFill>
                  <pic:spPr>
                    <a:xfrm>
                      <a:off x="0" y="0"/>
                      <a:ext cx="4075430" cy="2498090"/>
                    </a:xfrm>
                    <a:prstGeom prst="rect">
                      <a:avLst/>
                    </a:prstGeom>
                  </pic:spPr>
                </pic:pic>
              </a:graphicData>
            </a:graphic>
          </wp:inline>
        </w:drawing>
      </w:r>
    </w:p>
    <w:p>
      <w:pPr>
        <w:overflowPunct w:val="0"/>
        <w:autoSpaceDE w:val="0"/>
        <w:autoSpaceDN w:val="0"/>
        <w:adjustRightInd w:val="0"/>
        <w:snapToGrid w:val="0"/>
        <w:spacing w:before="120" w:beforeLines="50" w:after="120" w:line="300" w:lineRule="auto"/>
        <w:jc w:val="center"/>
        <w:textAlignment w:val="baseline"/>
      </w:pPr>
      <w:r>
        <w:rPr>
          <w:rFonts w:hint="eastAsia"/>
          <w:b/>
          <w:szCs w:val="20"/>
        </w:rPr>
        <w:t>Fig</w:t>
      </w:r>
      <w:r>
        <w:rPr>
          <w:b/>
          <w:szCs w:val="20"/>
        </w:rPr>
        <w:t>ure 1</w:t>
      </w:r>
      <w:r>
        <w:rPr>
          <w:rFonts w:hint="eastAsia"/>
          <w:szCs w:val="20"/>
        </w:rPr>
        <w:t xml:space="preserve"> Overhead of RRC configuration required for different numbers of CCs</w:t>
      </w:r>
    </w:p>
    <w:p>
      <w:pPr>
        <w:spacing w:before="120" w:beforeLines="50" w:after="120" w:afterLines="50"/>
        <w:jc w:val="both"/>
        <w:rPr>
          <w:b/>
          <w:i/>
          <w:szCs w:val="20"/>
        </w:rPr>
      </w:pPr>
      <w:r>
        <w:rPr>
          <w:b/>
          <w:i/>
          <w:szCs w:val="20"/>
        </w:rPr>
        <w:t xml:space="preserve">Observation 1: </w:t>
      </w:r>
    </w:p>
    <w:p>
      <w:pPr>
        <w:pStyle w:val="99"/>
        <w:numPr>
          <w:ilvl w:val="0"/>
          <w:numId w:val="7"/>
        </w:numPr>
        <w:snapToGrid w:val="0"/>
        <w:spacing w:before="60" w:beforeLines="25" w:after="60" w:afterLines="25" w:line="300" w:lineRule="auto"/>
        <w:ind w:left="840" w:hanging="420" w:firstLineChars="0"/>
        <w:jc w:val="both"/>
        <w:rPr>
          <w:i/>
          <w:szCs w:val="20"/>
        </w:rPr>
      </w:pPr>
      <w:r>
        <w:rPr>
          <w:i/>
          <w:szCs w:val="20"/>
        </w:rPr>
        <w:t>Due to sharing a single RRC TCI state pool for a CC group rather than respective pools per CC, Opt-1 can significantly save RRC overhead over Opt-2, e.g., 1</w:t>
      </w:r>
      <w:r>
        <w:rPr>
          <w:rFonts w:hint="eastAsia" w:eastAsia="宋体"/>
          <w:i/>
          <w:szCs w:val="20"/>
        </w:rPr>
        <w:t>.12</w:t>
      </w:r>
      <w:r>
        <w:rPr>
          <w:i/>
          <w:szCs w:val="20"/>
        </w:rPr>
        <w:t>kB vs 1</w:t>
      </w:r>
      <w:r>
        <w:rPr>
          <w:rFonts w:hint="eastAsia" w:eastAsia="宋体"/>
          <w:i/>
          <w:szCs w:val="20"/>
        </w:rPr>
        <w:t>43.36</w:t>
      </w:r>
      <w:r>
        <w:rPr>
          <w:i/>
          <w:szCs w:val="20"/>
        </w:rPr>
        <w:t xml:space="preserve"> kB.</w:t>
      </w:r>
    </w:p>
    <w:p>
      <w:pPr>
        <w:pStyle w:val="99"/>
        <w:numPr>
          <w:ilvl w:val="0"/>
          <w:numId w:val="7"/>
        </w:numPr>
        <w:snapToGrid w:val="0"/>
        <w:spacing w:before="60" w:beforeLines="25" w:after="60" w:afterLines="25" w:line="300" w:lineRule="auto"/>
        <w:ind w:left="840" w:hanging="420" w:firstLineChars="0"/>
        <w:jc w:val="both"/>
        <w:rPr>
          <w:i/>
          <w:szCs w:val="20"/>
        </w:rPr>
      </w:pPr>
      <w:r>
        <w:rPr>
          <w:i/>
          <w:szCs w:val="20"/>
        </w:rPr>
        <w:t xml:space="preserve">Configuration flexibility of Opt-1 is sufficient for unified TCI indication, considering the identical RS configuration (e.g., TRS) across multiple CCs under the requirement of updating a common beam for all RS/channels, although losing some flexibility compared with Opt-2.  </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eastAsia="宋体"/>
        </w:rPr>
        <w:t>But, considering that QCL-Type A parameter can NOT be applied for cross-CC indication due to demodulation requirement for accurate time/frequency tracking, we need to further study the mechanism of determining QCL Type-A RS in a local (or target) CC/BWP according to the QCL-Type A RS of TCI state in the reference CC/BWP.</w:t>
      </w:r>
    </w:p>
    <w:p>
      <w:pPr>
        <w:pStyle w:val="109"/>
        <w:numPr>
          <w:ilvl w:val="0"/>
          <w:numId w:val="10"/>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eastAsia="宋体"/>
        </w:rPr>
        <w:t>Alt-1: A single TCI state pool is still configured for PDSCH in a reference CC/BWP as in Rel-15/16. The QCL Type-A RS in a target CC/BWP can be obtained according to the QCL Type-A RS ID indicated by the TCI state in the reference CC/BWP. Specifically, a CC ID for QCL-Type A RS is absent in a TCI state, and the CC ID for QCL-Type A RS is determined according to a target CC of the TCI state. An example can be found in Figure 2.</w:t>
      </w:r>
    </w:p>
    <w:p>
      <w:pPr>
        <w:overflowPunct w:val="0"/>
        <w:autoSpaceDE w:val="0"/>
        <w:autoSpaceDN w:val="0"/>
        <w:adjustRightInd w:val="0"/>
        <w:snapToGrid w:val="0"/>
        <w:spacing w:before="120" w:beforeLines="50" w:after="120" w:line="300" w:lineRule="auto"/>
        <w:jc w:val="center"/>
        <w:textAlignment w:val="baseline"/>
        <w:rPr>
          <w:rFonts w:eastAsia="宋体"/>
          <w:b/>
          <w:szCs w:val="20"/>
        </w:rPr>
      </w:pPr>
      <w:r>
        <w:rPr>
          <w:rFonts w:eastAsia="Times New Roman"/>
          <w:sz w:val="21"/>
        </w:rPr>
        <w:object>
          <v:shape id="_x0000_i1025" o:spt="75" type="#_x0000_t75" style="height:53.5pt;width:41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color w:val="0000FF"/>
        </w:rPr>
      </w:pPr>
      <w:r>
        <w:rPr>
          <w:rFonts w:hint="eastAsia"/>
          <w:b/>
          <w:szCs w:val="20"/>
        </w:rPr>
        <w:t>Fig</w:t>
      </w:r>
      <w:r>
        <w:rPr>
          <w:b/>
          <w:szCs w:val="20"/>
        </w:rPr>
        <w:t>ure 2</w:t>
      </w:r>
      <w:r>
        <w:rPr>
          <w:rFonts w:hint="eastAsia"/>
          <w:szCs w:val="20"/>
        </w:rPr>
        <w:t xml:space="preserve"> </w:t>
      </w:r>
      <w:r>
        <w:rPr>
          <w:rFonts w:eastAsia="宋体"/>
          <w:szCs w:val="20"/>
        </w:rPr>
        <w:t>Alt-1: PDSCH TCI state pool is reused, and CC ID for QCL-Type A RS is determined according to the target CC of indicated TCI state</w:t>
      </w:r>
    </w:p>
    <w:p>
      <w:pPr>
        <w:pStyle w:val="109"/>
        <w:numPr>
          <w:ilvl w:val="0"/>
          <w:numId w:val="10"/>
        </w:numPr>
        <w:overflowPunct w:val="0"/>
        <w:autoSpaceDE w:val="0"/>
        <w:autoSpaceDN w:val="0"/>
        <w:adjustRightInd w:val="0"/>
        <w:snapToGrid w:val="0"/>
        <w:spacing w:before="60" w:beforeLines="25" w:after="120" w:line="300" w:lineRule="auto"/>
        <w:ind w:firstLineChars="0"/>
        <w:jc w:val="both"/>
        <w:textAlignment w:val="baseline"/>
        <w:rPr>
          <w:rFonts w:eastAsia="宋体"/>
        </w:rPr>
      </w:pPr>
      <w:r>
        <w:rPr>
          <w:rFonts w:eastAsia="宋体"/>
        </w:rPr>
        <w:t>Alt-2: A</w:t>
      </w:r>
      <w:r>
        <w:rPr>
          <w:rFonts w:hint="eastAsia" w:eastAsia="宋体"/>
        </w:rPr>
        <w:t xml:space="preserve"> </w:t>
      </w:r>
      <w:r>
        <w:rPr>
          <w:rFonts w:eastAsia="宋体"/>
        </w:rPr>
        <w:t>single</w:t>
      </w:r>
      <w:r>
        <w:rPr>
          <w:rFonts w:hint="eastAsia" w:eastAsia="宋体"/>
        </w:rPr>
        <w:t xml:space="preserve"> RRC configured TCI state pool for a CC/BWP group (i.e., cell-group TCI state pool) </w:t>
      </w:r>
      <w:r>
        <w:rPr>
          <w:rFonts w:eastAsia="宋体"/>
        </w:rPr>
        <w:t>is introduced</w:t>
      </w:r>
      <w:r>
        <w:rPr>
          <w:rFonts w:hint="eastAsia" w:eastAsia="宋体"/>
        </w:rPr>
        <w:t xml:space="preserve">. </w:t>
      </w:r>
      <w:r>
        <w:rPr>
          <w:rFonts w:eastAsia="宋体"/>
        </w:rPr>
        <w:t>Regarding</w:t>
      </w:r>
      <w:r>
        <w:rPr>
          <w:rFonts w:hint="eastAsia" w:eastAsia="宋体"/>
        </w:rPr>
        <w:t xml:space="preserve"> the determination of QCL</w:t>
      </w:r>
      <w:r>
        <w:rPr>
          <w:rFonts w:eastAsia="宋体"/>
        </w:rPr>
        <w:t>-</w:t>
      </w:r>
      <w:r>
        <w:rPr>
          <w:rFonts w:hint="eastAsia" w:eastAsia="宋体"/>
        </w:rPr>
        <w:t>Type</w:t>
      </w:r>
      <w:r>
        <w:rPr>
          <w:rFonts w:eastAsia="宋体"/>
        </w:rPr>
        <w:t xml:space="preserve"> </w:t>
      </w:r>
      <w:r>
        <w:rPr>
          <w:rFonts w:hint="eastAsia" w:eastAsia="宋体"/>
        </w:rPr>
        <w:t>A RS, QCL</w:t>
      </w:r>
      <w:r>
        <w:rPr>
          <w:rFonts w:eastAsia="宋体"/>
        </w:rPr>
        <w:t>-</w:t>
      </w:r>
      <w:r>
        <w:rPr>
          <w:rFonts w:hint="eastAsia" w:eastAsia="宋体"/>
        </w:rPr>
        <w:t>Type</w:t>
      </w:r>
      <w:r>
        <w:rPr>
          <w:rFonts w:eastAsia="宋体"/>
        </w:rPr>
        <w:t xml:space="preserve"> </w:t>
      </w:r>
      <w:r>
        <w:rPr>
          <w:rFonts w:hint="eastAsia" w:eastAsia="宋体"/>
        </w:rPr>
        <w:t>A RS</w:t>
      </w:r>
      <w:r>
        <w:rPr>
          <w:rFonts w:eastAsia="宋体"/>
        </w:rPr>
        <w:t xml:space="preserve"> </w:t>
      </w:r>
      <w:r>
        <w:rPr>
          <w:rFonts w:hint="eastAsia" w:eastAsia="宋体"/>
        </w:rPr>
        <w:t xml:space="preserve">ID in an indicated TCI state for a CC/BWP group can be applied to all CCs/BWPs in the CC/BWP group, and </w:t>
      </w:r>
      <w:r>
        <w:rPr>
          <w:rFonts w:eastAsia="宋体"/>
        </w:rPr>
        <w:t xml:space="preserve">a </w:t>
      </w:r>
      <w:r>
        <w:rPr>
          <w:rFonts w:hint="eastAsia" w:eastAsia="宋体"/>
        </w:rPr>
        <w:t>diagrammatic sketch is shown in Figure</w:t>
      </w:r>
      <w:r>
        <w:rPr>
          <w:rFonts w:eastAsia="宋体"/>
        </w:rPr>
        <w:t xml:space="preserve"> 3</w:t>
      </w:r>
      <w:r>
        <w:rPr>
          <w:rFonts w:hint="eastAsia" w:eastAsia="宋体"/>
        </w:rPr>
        <w:t>.</w:t>
      </w:r>
    </w:p>
    <w:p>
      <w:pPr>
        <w:overflowPunct w:val="0"/>
        <w:autoSpaceDE w:val="0"/>
        <w:autoSpaceDN w:val="0"/>
        <w:adjustRightInd w:val="0"/>
        <w:snapToGrid w:val="0"/>
        <w:spacing w:before="120" w:beforeLines="50" w:after="120" w:line="300" w:lineRule="auto"/>
        <w:jc w:val="center"/>
        <w:textAlignment w:val="baseline"/>
        <w:rPr>
          <w:rFonts w:eastAsia="宋体"/>
          <w:b/>
          <w:szCs w:val="20"/>
        </w:rPr>
      </w:pPr>
      <w:r>
        <w:rPr>
          <w:rFonts w:eastAsia="Times New Roman"/>
          <w:sz w:val="21"/>
        </w:rPr>
        <w:object>
          <v:shape id="_x0000_i1026" o:spt="75" type="#_x0000_t75" style="height:142pt;width:412.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color w:val="0000FF"/>
        </w:rPr>
      </w:pPr>
      <w:r>
        <w:rPr>
          <w:rFonts w:hint="eastAsia"/>
          <w:b/>
          <w:szCs w:val="20"/>
        </w:rPr>
        <w:t>Fig</w:t>
      </w:r>
      <w:r>
        <w:rPr>
          <w:b/>
          <w:szCs w:val="20"/>
        </w:rPr>
        <w:t>ure 3</w:t>
      </w:r>
      <w:r>
        <w:rPr>
          <w:rFonts w:hint="eastAsia"/>
          <w:szCs w:val="20"/>
        </w:rPr>
        <w:t xml:space="preserve"> </w:t>
      </w:r>
      <w:r>
        <w:rPr>
          <w:rFonts w:eastAsia="宋体"/>
          <w:szCs w:val="20"/>
        </w:rPr>
        <w:t>Alt-2: A cell-group TCI state pool is introduced, and the same resource ID of the QCL Type-A RS is applied to the CCs in the same CC group</w:t>
      </w:r>
    </w:p>
    <w:p>
      <w:pPr>
        <w:pStyle w:val="109"/>
        <w:overflowPunct w:val="0"/>
        <w:autoSpaceDE w:val="0"/>
        <w:autoSpaceDN w:val="0"/>
        <w:adjustRightInd w:val="0"/>
        <w:snapToGrid w:val="0"/>
        <w:spacing w:before="60" w:beforeLines="25" w:after="60" w:afterLines="25" w:line="300" w:lineRule="auto"/>
        <w:ind w:firstLine="0" w:firstLineChars="0"/>
        <w:jc w:val="both"/>
        <w:textAlignment w:val="baseline"/>
        <w:rPr>
          <w:rFonts w:eastAsia="宋体"/>
          <w:b/>
          <w:i/>
          <w:szCs w:val="20"/>
          <w:lang w:val="en-GB"/>
        </w:rPr>
      </w:pPr>
      <w:r>
        <w:rPr>
          <w:rFonts w:eastAsia="宋体"/>
        </w:rPr>
        <w:t>In our opinion, this way of “applying the same QCL Type-A RS ID to the CCs in the same CC group” in Opt-1 seems to be similar to “applying the same activated TCI state ID to the CCs in the same CC group” in Opt-2 that is used in Rel-16. The only enhancement of Opt-1 compared with Opt-2 is to change the level of same ID from TCI state to QCL Type-A RS.</w:t>
      </w:r>
    </w:p>
    <w:p>
      <w:pPr>
        <w:overflowPunct w:val="0"/>
        <w:autoSpaceDE w:val="0"/>
        <w:autoSpaceDN w:val="0"/>
        <w:adjustRightInd w:val="0"/>
        <w:snapToGrid w:val="0"/>
        <w:spacing w:before="60" w:beforeLines="25" w:after="60" w:afterLines="25" w:line="300" w:lineRule="auto"/>
        <w:jc w:val="both"/>
        <w:textAlignment w:val="baseline"/>
        <w:rPr>
          <w:rFonts w:eastAsia="宋体"/>
          <w:i/>
        </w:rPr>
      </w:pPr>
      <w:r>
        <w:rPr>
          <w:rFonts w:hint="eastAsia" w:eastAsia="微软雅黑"/>
          <w:b/>
          <w:i/>
          <w:szCs w:val="20"/>
          <w:lang w:val="en-GB"/>
        </w:rPr>
        <w:t>P</w:t>
      </w:r>
      <w:r>
        <w:rPr>
          <w:rFonts w:eastAsia="微软雅黑"/>
          <w:b/>
          <w:i/>
          <w:szCs w:val="20"/>
          <w:lang w:val="en-GB"/>
        </w:rPr>
        <w:t>roposal 2:</w:t>
      </w:r>
      <w:r>
        <w:rPr>
          <w:rFonts w:hint="eastAsia" w:eastAsia="微软雅黑"/>
          <w:i/>
          <w:szCs w:val="20"/>
          <w:lang w:val="en-GB"/>
        </w:rPr>
        <w:t xml:space="preserve"> </w:t>
      </w:r>
      <w:r>
        <w:rPr>
          <w:rFonts w:hint="eastAsia" w:eastAsia="微软雅黑"/>
          <w:i/>
          <w:szCs w:val="20"/>
        </w:rPr>
        <w:t>For intra/inter-band CA, s</w:t>
      </w:r>
      <w:r>
        <w:rPr>
          <w:rFonts w:eastAsia="微软雅黑"/>
          <w:i/>
          <w:szCs w:val="20"/>
        </w:rPr>
        <w:t xml:space="preserve">upport the </w:t>
      </w:r>
      <w:r>
        <w:rPr>
          <w:rFonts w:hint="eastAsia" w:eastAsia="微软雅黑"/>
          <w:i/>
          <w:szCs w:val="20"/>
          <w:lang w:val="en-GB"/>
        </w:rPr>
        <w:t>mechanism of sharing a single RRC TCI state pool for the set of configured CCs</w:t>
      </w:r>
      <w:r>
        <w:rPr>
          <w:rFonts w:hint="eastAsia" w:eastAsia="微软雅黑"/>
          <w:i/>
          <w:szCs w:val="20"/>
        </w:rPr>
        <w:t xml:space="preserve"> (Opt-1)</w:t>
      </w:r>
      <w:r>
        <w:rPr>
          <w:rFonts w:hint="eastAsia" w:eastAsia="宋体"/>
          <w:i/>
        </w:rPr>
        <w:t>.</w:t>
      </w:r>
    </w:p>
    <w:p>
      <w:pPr>
        <w:pStyle w:val="99"/>
        <w:numPr>
          <w:ilvl w:val="0"/>
          <w:numId w:val="7"/>
        </w:numPr>
        <w:snapToGrid w:val="0"/>
        <w:spacing w:before="60" w:beforeLines="25" w:after="60" w:afterLines="25" w:line="300" w:lineRule="auto"/>
        <w:ind w:firstLineChars="0"/>
        <w:jc w:val="both"/>
        <w:rPr>
          <w:rFonts w:eastAsia="微软雅黑"/>
          <w:i/>
          <w:szCs w:val="20"/>
          <w:lang w:val="en-GB"/>
        </w:rPr>
      </w:pPr>
      <w:r>
        <w:rPr>
          <w:rFonts w:eastAsia="宋体"/>
          <w:i/>
        </w:rPr>
        <w:t xml:space="preserve">Down-select at least one of </w:t>
      </w:r>
      <w:r>
        <w:rPr>
          <w:rFonts w:hint="eastAsia" w:eastAsia="宋体"/>
          <w:i/>
        </w:rPr>
        <w:t xml:space="preserve">the </w:t>
      </w:r>
      <w:r>
        <w:rPr>
          <w:rFonts w:eastAsia="宋体"/>
          <w:i/>
        </w:rPr>
        <w:t xml:space="preserve">following candidate solutions for determining </w:t>
      </w:r>
      <w:r>
        <w:rPr>
          <w:rFonts w:hint="eastAsia" w:eastAsia="宋体"/>
          <w:i/>
        </w:rPr>
        <w:t>QCL Type-A RS in the target CC/BWP according to the QCL Type-A RS indicated in the TCI states of reference CC/BWP</w:t>
      </w:r>
      <w:r>
        <w:rPr>
          <w:rFonts w:eastAsia="宋体"/>
          <w:i/>
        </w:rPr>
        <w:t>.</w:t>
      </w:r>
      <w:r>
        <w:rPr>
          <w:rFonts w:hint="eastAsia" w:eastAsia="宋体"/>
          <w:i/>
        </w:rPr>
        <w:t xml:space="preserve"> </w:t>
      </w:r>
    </w:p>
    <w:p>
      <w:pPr>
        <w:pStyle w:val="99"/>
        <w:numPr>
          <w:ilvl w:val="1"/>
          <w:numId w:val="7"/>
        </w:numPr>
        <w:snapToGrid w:val="0"/>
        <w:spacing w:before="60" w:beforeLines="25" w:after="60" w:afterLines="25" w:line="300" w:lineRule="auto"/>
        <w:ind w:firstLineChars="0"/>
        <w:jc w:val="both"/>
        <w:rPr>
          <w:rFonts w:eastAsia="微软雅黑"/>
          <w:i/>
          <w:szCs w:val="20"/>
          <w:lang w:val="en-GB"/>
        </w:rPr>
      </w:pPr>
      <w:r>
        <w:rPr>
          <w:rFonts w:eastAsia="宋体"/>
          <w:i/>
          <w:lang w:val="en-GB"/>
        </w:rPr>
        <w:t>Alt-1: A CC ID for QCL-Type A RS is absent in a TCI state in a reference cell, and the CC ID for QCL-Type A RS is determined according to a target CC of the TCI state.</w:t>
      </w:r>
    </w:p>
    <w:p>
      <w:pPr>
        <w:pStyle w:val="99"/>
        <w:numPr>
          <w:ilvl w:val="1"/>
          <w:numId w:val="7"/>
        </w:numPr>
        <w:snapToGrid w:val="0"/>
        <w:spacing w:before="60" w:beforeLines="25" w:after="60" w:afterLines="25" w:line="300" w:lineRule="auto"/>
        <w:ind w:firstLineChars="0"/>
        <w:jc w:val="both"/>
        <w:rPr>
          <w:rFonts w:eastAsia="微软雅黑"/>
          <w:i/>
          <w:szCs w:val="20"/>
          <w:lang w:val="en-GB"/>
        </w:rPr>
      </w:pPr>
      <w:r>
        <w:rPr>
          <w:rFonts w:eastAsia="宋体"/>
          <w:i/>
          <w:lang w:val="en-GB"/>
        </w:rPr>
        <w:t xml:space="preserve">Alt-2: </w:t>
      </w:r>
      <w:r>
        <w:rPr>
          <w:rFonts w:eastAsia="宋体"/>
          <w:i/>
        </w:rPr>
        <w:t>A</w:t>
      </w:r>
      <w:r>
        <w:rPr>
          <w:rFonts w:hint="eastAsia" w:eastAsia="宋体"/>
          <w:i/>
        </w:rPr>
        <w:t xml:space="preserve"> cell-group TCI state pool</w:t>
      </w:r>
      <w:r>
        <w:rPr>
          <w:rFonts w:eastAsia="宋体"/>
          <w:i/>
        </w:rPr>
        <w:t xml:space="preserve"> is introduced, and </w:t>
      </w:r>
      <w:r>
        <w:rPr>
          <w:rFonts w:hint="eastAsia" w:eastAsia="微软雅黑"/>
          <w:i/>
          <w:szCs w:val="20"/>
          <w:lang w:val="en-GB"/>
        </w:rPr>
        <w:t>the same resource ID</w:t>
      </w:r>
      <w:r>
        <w:rPr>
          <w:rFonts w:hint="eastAsia" w:eastAsia="微软雅黑"/>
          <w:i/>
          <w:szCs w:val="20"/>
        </w:rPr>
        <w:t xml:space="preserve"> of the </w:t>
      </w:r>
      <w:r>
        <w:rPr>
          <w:rFonts w:hint="eastAsia" w:eastAsia="微软雅黑"/>
          <w:i/>
          <w:szCs w:val="20"/>
          <w:lang w:val="en-GB"/>
        </w:rPr>
        <w:t>QCL</w:t>
      </w:r>
      <w:r>
        <w:rPr>
          <w:rFonts w:eastAsia="微软雅黑"/>
          <w:i/>
          <w:szCs w:val="20"/>
          <w:lang w:val="en-GB"/>
        </w:rPr>
        <w:t>-</w:t>
      </w:r>
      <w:r>
        <w:rPr>
          <w:rFonts w:hint="eastAsia" w:eastAsia="微软雅黑"/>
          <w:i/>
          <w:szCs w:val="20"/>
          <w:lang w:val="en-GB"/>
        </w:rPr>
        <w:t>Type</w:t>
      </w:r>
      <w:r>
        <w:rPr>
          <w:rFonts w:eastAsia="微软雅黑"/>
          <w:i/>
          <w:szCs w:val="20"/>
          <w:lang w:val="en-GB"/>
        </w:rPr>
        <w:t xml:space="preserve"> </w:t>
      </w:r>
      <w:r>
        <w:rPr>
          <w:rFonts w:hint="eastAsia" w:eastAsia="微软雅黑"/>
          <w:i/>
          <w:szCs w:val="20"/>
          <w:lang w:val="en-GB"/>
        </w:rPr>
        <w:t>A RS</w:t>
      </w:r>
      <w:r>
        <w:rPr>
          <w:rFonts w:hint="eastAsia" w:eastAsia="微软雅黑"/>
          <w:i/>
          <w:szCs w:val="20"/>
        </w:rPr>
        <w:t xml:space="preserve"> is applied to the CCs in the same CC group.</w:t>
      </w:r>
    </w:p>
    <w:p>
      <w:pPr>
        <w:pStyle w:val="99"/>
        <w:numPr>
          <w:ilvl w:val="0"/>
          <w:numId w:val="11"/>
        </w:numPr>
        <w:overflowPunct w:val="0"/>
        <w:autoSpaceDE w:val="0"/>
        <w:autoSpaceDN w:val="0"/>
        <w:adjustRightInd w:val="0"/>
        <w:snapToGrid w:val="0"/>
        <w:spacing w:before="60" w:beforeLines="25" w:after="60" w:afterLines="25" w:line="300" w:lineRule="auto"/>
        <w:ind w:firstLineChars="0"/>
        <w:jc w:val="both"/>
        <w:textAlignment w:val="baseline"/>
        <w:rPr>
          <w:rFonts w:eastAsia="宋体"/>
          <w:b/>
          <w:bCs/>
          <w:kern w:val="2"/>
          <w:sz w:val="24"/>
          <w:szCs w:val="24"/>
        </w:rPr>
      </w:pPr>
      <w:r>
        <w:rPr>
          <w:rFonts w:eastAsia="微软雅黑"/>
          <w:i/>
          <w:szCs w:val="20"/>
          <w:lang w:val="en-GB"/>
        </w:rPr>
        <w:t xml:space="preserve">Note that </w:t>
      </w:r>
      <w:r>
        <w:rPr>
          <w:rFonts w:hint="eastAsia" w:eastAsia="微软雅黑"/>
          <w:i/>
          <w:szCs w:val="20"/>
          <w:lang w:val="en-GB"/>
        </w:rPr>
        <w:t>Q</w:t>
      </w:r>
      <w:r>
        <w:rPr>
          <w:rFonts w:eastAsia="微软雅黑"/>
          <w:i/>
          <w:szCs w:val="20"/>
          <w:lang w:val="en-GB"/>
        </w:rPr>
        <w:t>CL-Type D RS in a TCI state can be applied to all CC</w:t>
      </w:r>
      <w:r>
        <w:rPr>
          <w:rFonts w:hint="eastAsia" w:eastAsia="微软雅黑"/>
          <w:i/>
          <w:szCs w:val="20"/>
        </w:rPr>
        <w:t>s</w:t>
      </w:r>
      <w:r>
        <w:rPr>
          <w:rFonts w:eastAsia="微软雅黑"/>
          <w:i/>
          <w:szCs w:val="20"/>
          <w:lang w:val="en-GB"/>
        </w:rPr>
        <w:t xml:space="preserve"> in the set of CC</w:t>
      </w:r>
      <w:r>
        <w:rPr>
          <w:rFonts w:hint="eastAsia" w:eastAsia="微软雅黑"/>
          <w:i/>
          <w:szCs w:val="20"/>
        </w:rPr>
        <w:t>s</w:t>
      </w:r>
      <w:r>
        <w:rPr>
          <w:rFonts w:eastAsia="微软雅黑"/>
          <w:i/>
          <w:szCs w:val="20"/>
        </w:rPr>
        <w:t xml:space="preserve"> for DL/UL spatial domain filter determination</w:t>
      </w:r>
      <w:r>
        <w:rPr>
          <w:rFonts w:eastAsia="微软雅黑"/>
          <w:i/>
          <w:szCs w:val="20"/>
          <w:lang w:val="en-GB"/>
        </w:rPr>
        <w:t>.</w:t>
      </w:r>
    </w:p>
    <w:p>
      <w:pPr>
        <w:widowControl w:val="0"/>
        <w:numPr>
          <w:ilvl w:val="2"/>
          <w:numId w:val="5"/>
        </w:numPr>
        <w:tabs>
          <w:tab w:val="clear" w:pos="720"/>
        </w:tabs>
        <w:snapToGrid w:val="0"/>
        <w:spacing w:before="240" w:after="120" w:afterLines="50" w:line="240" w:lineRule="auto"/>
        <w:ind w:left="607" w:hanging="607"/>
        <w:jc w:val="both"/>
        <w:outlineLvl w:val="2"/>
        <w:rPr>
          <w:rFonts w:eastAsia="宋体"/>
          <w:b/>
          <w:bCs/>
          <w:kern w:val="2"/>
          <w:sz w:val="24"/>
          <w:szCs w:val="24"/>
        </w:rPr>
      </w:pPr>
      <w:r>
        <w:rPr>
          <w:rFonts w:hint="eastAsia" w:eastAsia="宋体"/>
          <w:b/>
          <w:bCs/>
          <w:kern w:val="2"/>
          <w:sz w:val="24"/>
          <w:szCs w:val="24"/>
        </w:rPr>
        <w:t>SRS as source RS for DL RX spatial filter</w:t>
      </w:r>
    </w:p>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eastAsia="微软雅黑"/>
          <w:szCs w:val="20"/>
        </w:rPr>
        <w:t>B</w:t>
      </w:r>
      <w:r>
        <w:rPr>
          <w:rFonts w:eastAsia="微软雅黑"/>
          <w:szCs w:val="20"/>
        </w:rPr>
        <w:t xml:space="preserve">esides, there is another remaining issue of introducing SRS into a TCI state as a reference RS for determining spatial domain filter in DL. </w:t>
      </w:r>
      <w:r>
        <w:rPr>
          <w:rFonts w:hint="eastAsia" w:eastAsia="宋体"/>
        </w:rPr>
        <w:t>In RAN1#102</w:t>
      </w:r>
      <w:r>
        <w:rPr>
          <w:rFonts w:eastAsia="宋体"/>
        </w:rPr>
        <w:t>-</w:t>
      </w:r>
      <w:r>
        <w:rPr>
          <w:rFonts w:hint="eastAsia" w:eastAsia="宋体"/>
        </w:rPr>
        <w:t xml:space="preserve">e, the following </w:t>
      </w:r>
      <w:r>
        <w:rPr>
          <w:rFonts w:eastAsia="宋体"/>
        </w:rPr>
        <w:t>agreement</w:t>
      </w:r>
      <w:r>
        <w:rPr>
          <w:rFonts w:hint="eastAsia" w:eastAsia="宋体"/>
        </w:rPr>
        <w:t xml:space="preserve"> was </w:t>
      </w:r>
      <w:r>
        <w:rPr>
          <w:rFonts w:eastAsia="宋体"/>
        </w:rPr>
        <w:t>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rFonts w:cs="Times"/>
                <w:b/>
                <w:bCs/>
                <w:szCs w:val="20"/>
              </w:rPr>
            </w:pPr>
            <w:r>
              <w:rPr>
                <w:rFonts w:hint="eastAsia" w:eastAsia="宋体"/>
              </w:rPr>
              <w:t>In RAN1#103-e, decide if SRS for BM can be configured as a source RS to represent a DL RX spatial filter in the unified TCI framework.</w:t>
            </w:r>
          </w:p>
        </w:tc>
      </w:tr>
    </w:tbl>
    <w:p>
      <w:pPr>
        <w:pStyle w:val="109"/>
        <w:overflowPunct w:val="0"/>
        <w:autoSpaceDE w:val="0"/>
        <w:autoSpaceDN w:val="0"/>
        <w:adjustRightInd w:val="0"/>
        <w:snapToGrid w:val="0"/>
        <w:spacing w:before="60" w:beforeLines="25" w:after="120" w:line="300" w:lineRule="auto"/>
        <w:ind w:firstLine="0" w:firstLineChars="0"/>
        <w:jc w:val="both"/>
        <w:textAlignment w:val="baseline"/>
        <w:rPr>
          <w:rFonts w:eastAsia="宋体"/>
        </w:rPr>
      </w:pPr>
      <w:r>
        <w:rPr>
          <w:rFonts w:hint="eastAsia" w:eastAsia="宋体"/>
        </w:rPr>
        <w:t xml:space="preserve">In Rel-16, a DL RS (either CSI-RS or SSB) can be </w:t>
      </w:r>
      <w:r>
        <w:rPr>
          <w:rFonts w:eastAsia="宋体"/>
        </w:rPr>
        <w:t>configured</w:t>
      </w:r>
      <w:r>
        <w:rPr>
          <w:rFonts w:hint="eastAsia" w:eastAsia="宋体"/>
        </w:rPr>
        <w:t xml:space="preserve"> as a source RS to represent a DL RX filter,  and a DL/UL RS (CSI-RS, SSB or SRS) can be </w:t>
      </w:r>
      <w:r>
        <w:rPr>
          <w:rFonts w:eastAsia="宋体"/>
        </w:rPr>
        <w:t>configured</w:t>
      </w:r>
      <w:r>
        <w:rPr>
          <w:rFonts w:hint="eastAsia" w:eastAsia="宋体"/>
        </w:rPr>
        <w:t xml:space="preserve"> as a source RS to represent an UL TX filter. It is well-known </w:t>
      </w:r>
      <w:r>
        <w:rPr>
          <w:rFonts w:hint="eastAsia" w:eastAsia="宋体"/>
          <w:lang w:val="en-US" w:eastAsia="zh-CN"/>
        </w:rPr>
        <w:t xml:space="preserve">that </w:t>
      </w:r>
      <w:r>
        <w:rPr>
          <w:rFonts w:hint="eastAsia" w:eastAsia="宋体"/>
        </w:rPr>
        <w:t xml:space="preserve">an UL TX spatial filter can be obtained from a DL RX spatial filter, and it is undisputed that the reversed direction is also viable. This may mean that SRS can be configured as a source RS to represent a DL RX filter. </w:t>
      </w:r>
    </w:p>
    <w:p>
      <w:pPr>
        <w:snapToGrid w:val="0"/>
        <w:spacing w:before="120" w:after="120" w:afterLines="50" w:line="300" w:lineRule="auto"/>
        <w:jc w:val="both"/>
        <w:rPr>
          <w:rFonts w:eastAsia="微软雅黑"/>
          <w:szCs w:val="20"/>
        </w:rPr>
      </w:pPr>
      <w:r>
        <w:rPr>
          <w:rFonts w:eastAsia="微软雅黑"/>
          <w:szCs w:val="20"/>
        </w:rPr>
        <w:t xml:space="preserve">However, as usual, beam management procedure is preformed from DL measurement firstly. Based on the DL measurement results (e.g., multiple candidate DL Tx beams), SRS is configured with </w:t>
      </w:r>
      <w:r>
        <w:rPr>
          <w:rFonts w:eastAsia="微软雅黑"/>
          <w:i/>
          <w:szCs w:val="20"/>
        </w:rPr>
        <w:t>spatialRelationInfo</w:t>
      </w:r>
      <w:r>
        <w:rPr>
          <w:rFonts w:eastAsia="微软雅黑"/>
          <w:szCs w:val="20"/>
        </w:rPr>
        <w:t xml:space="preserve"> of a reference DL RS, and the SRS should be transmitted using the same spatial domain filter as receiving the reference DL RS by the UE. It means that we can use the reference DL RS directly in the TCI state, and benefits of introducing SRS become weak. In order to guarantee the benefits and improve UL beam management, the consideration on beam refinement of SRS around a reference DL RS should be taken, like RRC parameter </w:t>
      </w:r>
      <w:r>
        <w:rPr>
          <w:rFonts w:eastAsia="微软雅黑"/>
          <w:i/>
          <w:szCs w:val="20"/>
        </w:rPr>
        <w:t>Repetition</w:t>
      </w:r>
      <w:r>
        <w:rPr>
          <w:rFonts w:eastAsia="微软雅黑"/>
          <w:szCs w:val="20"/>
        </w:rPr>
        <w:t xml:space="preserve"> for CSI-RS.</w:t>
      </w:r>
    </w:p>
    <w:p>
      <w:pPr>
        <w:overflowPunct w:val="0"/>
        <w:autoSpaceDE w:val="0"/>
        <w:autoSpaceDN w:val="0"/>
        <w:adjustRightInd w:val="0"/>
        <w:snapToGrid w:val="0"/>
        <w:spacing w:before="60" w:beforeLines="25" w:after="60" w:afterLines="25" w:line="300" w:lineRule="auto"/>
        <w:jc w:val="both"/>
        <w:textAlignment w:val="baseline"/>
        <w:rPr>
          <w:rFonts w:eastAsia="微软雅黑"/>
          <w:i/>
          <w:szCs w:val="20"/>
        </w:rPr>
      </w:pPr>
      <w:r>
        <w:rPr>
          <w:rFonts w:hint="eastAsia" w:eastAsia="微软雅黑"/>
          <w:b/>
          <w:i/>
          <w:szCs w:val="20"/>
          <w:lang w:val="en-GB"/>
        </w:rPr>
        <w:t>P</w:t>
      </w:r>
      <w:r>
        <w:rPr>
          <w:rFonts w:eastAsia="微软雅黑"/>
          <w:b/>
          <w:i/>
          <w:szCs w:val="20"/>
          <w:lang w:val="en-GB"/>
        </w:rPr>
        <w:t>roposal 3:</w:t>
      </w:r>
      <w:r>
        <w:rPr>
          <w:rFonts w:hint="eastAsia" w:eastAsia="微软雅黑"/>
          <w:i/>
          <w:szCs w:val="20"/>
          <w:lang w:val="en-GB"/>
        </w:rPr>
        <w:t xml:space="preserve"> </w:t>
      </w:r>
      <w:r>
        <w:rPr>
          <w:rFonts w:hint="eastAsia" w:eastAsia="微软雅黑"/>
          <w:i/>
          <w:szCs w:val="20"/>
        </w:rPr>
        <w:t>Support SRS can be configured as a source RS to represent a DL RX spatial filter in the unified TCI framework.</w:t>
      </w:r>
    </w:p>
    <w:p>
      <w:pPr>
        <w:pStyle w:val="99"/>
        <w:numPr>
          <w:ilvl w:val="0"/>
          <w:numId w:val="11"/>
        </w:numPr>
        <w:snapToGrid w:val="0"/>
        <w:spacing w:before="60" w:beforeLines="25" w:after="60" w:afterLines="25" w:line="300" w:lineRule="auto"/>
        <w:ind w:firstLineChars="0"/>
        <w:jc w:val="both"/>
        <w:rPr>
          <w:rFonts w:eastAsia="微软雅黑"/>
          <w:szCs w:val="20"/>
        </w:rPr>
      </w:pPr>
      <w:r>
        <w:rPr>
          <w:rFonts w:eastAsia="微软雅黑"/>
          <w:i/>
          <w:szCs w:val="20"/>
          <w:lang w:val="en-GB"/>
        </w:rPr>
        <w:t>In order to achieve UL beam refinement, RRC parameter repetition can be configured with SRS resources, e.g., beam sweeping around spatial domain filter of a DL RS.</w:t>
      </w:r>
    </w:p>
    <w:p>
      <w:pPr>
        <w:pStyle w:val="99"/>
        <w:numPr>
          <w:ilvl w:val="1"/>
          <w:numId w:val="7"/>
        </w:numPr>
        <w:snapToGrid w:val="0"/>
        <w:spacing w:before="60" w:beforeLines="25" w:after="60" w:afterLines="25" w:line="300" w:lineRule="auto"/>
        <w:ind w:firstLineChars="0"/>
        <w:jc w:val="both"/>
        <w:rPr>
          <w:rFonts w:eastAsia="宋体"/>
          <w:i/>
        </w:rPr>
      </w:pPr>
      <w:r>
        <w:rPr>
          <w:rFonts w:eastAsia="宋体"/>
          <w:i/>
        </w:rPr>
        <w:t>FFS: configuring “repetition” for SRS resource set, similar to CSI-RS resource set.</w:t>
      </w:r>
    </w:p>
    <w:p>
      <w:pPr>
        <w:pStyle w:val="99"/>
        <w:numPr>
          <w:ilvl w:val="0"/>
          <w:numId w:val="11"/>
        </w:numPr>
        <w:snapToGrid w:val="0"/>
        <w:spacing w:before="60" w:beforeLines="25" w:after="60" w:afterLines="25" w:line="300" w:lineRule="auto"/>
        <w:ind w:firstLineChars="0"/>
        <w:jc w:val="both"/>
        <w:rPr>
          <w:rFonts w:eastAsia="微软雅黑"/>
          <w:szCs w:val="20"/>
        </w:rPr>
      </w:pPr>
      <w:r>
        <w:rPr>
          <w:rFonts w:eastAsia="微软雅黑"/>
          <w:i/>
          <w:szCs w:val="20"/>
          <w:lang w:val="en-GB"/>
        </w:rPr>
        <w:t>Above is applied all types of SRS, including antenna switching, codebook, non-codebook and beam management.</w:t>
      </w:r>
    </w:p>
    <w:p>
      <w:pPr>
        <w:numPr>
          <w:ilvl w:val="2"/>
          <w:numId w:val="5"/>
        </w:numPr>
        <w:tabs>
          <w:tab w:val="clear" w:pos="720"/>
        </w:tabs>
        <w:snapToGrid w:val="0"/>
        <w:spacing w:before="240" w:after="120" w:afterLines="50" w:line="240" w:lineRule="auto"/>
        <w:ind w:left="607" w:hanging="607"/>
        <w:jc w:val="both"/>
        <w:outlineLvl w:val="2"/>
        <w:rPr>
          <w:b/>
          <w:bCs/>
          <w:sz w:val="21"/>
          <w:szCs w:val="21"/>
        </w:rPr>
      </w:pPr>
      <w:r>
        <w:rPr>
          <w:rFonts w:hint="eastAsia" w:eastAsia="宋体"/>
          <w:b/>
          <w:bCs/>
          <w:sz w:val="21"/>
          <w:szCs w:val="21"/>
        </w:rPr>
        <w:t>The number of TCI</w:t>
      </w:r>
      <w:r>
        <w:rPr>
          <w:rFonts w:eastAsia="宋体"/>
          <w:b/>
          <w:bCs/>
          <w:sz w:val="21"/>
          <w:szCs w:val="21"/>
        </w:rPr>
        <w:t xml:space="preserve"> states to be indicated for transmission</w:t>
      </w:r>
    </w:p>
    <w:p>
      <w:pPr>
        <w:snapToGrid w:val="0"/>
        <w:spacing w:before="120" w:after="120" w:afterLines="50" w:line="300" w:lineRule="auto"/>
        <w:jc w:val="both"/>
        <w:rPr>
          <w:rFonts w:eastAsia="宋体"/>
          <w:szCs w:val="20"/>
        </w:rPr>
      </w:pPr>
      <w:r>
        <w:rPr>
          <w:rFonts w:eastAsia="微软雅黑"/>
          <w:szCs w:val="20"/>
        </w:rPr>
        <w:t xml:space="preserve">The </w:t>
      </w:r>
      <w:r>
        <w:rPr>
          <w:rFonts w:hint="eastAsia" w:eastAsia="微软雅黑"/>
          <w:szCs w:val="20"/>
        </w:rPr>
        <w:t xml:space="preserve">common TCI </w:t>
      </w:r>
      <w:r>
        <w:rPr>
          <w:rFonts w:eastAsia="微软雅黑"/>
          <w:szCs w:val="20"/>
        </w:rPr>
        <w:t xml:space="preserve">state </w:t>
      </w:r>
      <w:r>
        <w:rPr>
          <w:rFonts w:hint="eastAsia" w:eastAsia="微软雅黑"/>
          <w:szCs w:val="20"/>
        </w:rPr>
        <w:t xml:space="preserve">provides </w:t>
      </w:r>
      <w:r>
        <w:rPr>
          <w:szCs w:val="20"/>
        </w:rPr>
        <w:t xml:space="preserve">common QCL information </w:t>
      </w:r>
      <w:r>
        <w:rPr>
          <w:rFonts w:hint="eastAsia" w:eastAsia="宋体"/>
          <w:szCs w:val="20"/>
        </w:rPr>
        <w:t xml:space="preserve">for DL transmission and/or </w:t>
      </w:r>
      <w:r>
        <w:rPr>
          <w:szCs w:val="20"/>
        </w:rPr>
        <w:t xml:space="preserve">UL TX spatial filter(s) </w:t>
      </w:r>
      <w:r>
        <w:rPr>
          <w:rFonts w:hint="eastAsia" w:eastAsia="宋体"/>
          <w:szCs w:val="20"/>
        </w:rPr>
        <w:t>for UL transmissions. Regarding the number of TCI state</w:t>
      </w:r>
      <w:r>
        <w:rPr>
          <w:rFonts w:eastAsia="宋体"/>
          <w:szCs w:val="20"/>
        </w:rPr>
        <w:t>s to provide QCL/spatial relation information in an indication command</w:t>
      </w:r>
      <w:r>
        <w:rPr>
          <w:rFonts w:hint="eastAsia" w:eastAsia="宋体"/>
          <w:szCs w:val="20"/>
        </w:rPr>
        <w:t>, i.e. M for DL TCI and N for UL TCI</w:t>
      </w:r>
      <w:r>
        <w:rPr>
          <w:rFonts w:eastAsia="宋体"/>
          <w:szCs w:val="20"/>
        </w:rPr>
        <w:t xml:space="preserve"> as agreed in RAN1#102e</w:t>
      </w:r>
      <w:r>
        <w:rPr>
          <w:rFonts w:hint="eastAsia" w:eastAsia="宋体"/>
          <w:szCs w:val="20"/>
        </w:rPr>
        <w:t xml:space="preserve">, whether the number should be larger than 1 still remains undecided as working assumption. In our opinion, the number of TCI </w:t>
      </w:r>
      <w:r>
        <w:rPr>
          <w:rFonts w:eastAsia="宋体"/>
          <w:szCs w:val="20"/>
        </w:rPr>
        <w:t>states to be indicated for transmission greater</w:t>
      </w:r>
      <w:r>
        <w:rPr>
          <w:rFonts w:hint="eastAsia" w:eastAsia="宋体"/>
          <w:szCs w:val="20"/>
        </w:rPr>
        <w:t xml:space="preserve"> than 1 is used for </w:t>
      </w:r>
      <w:r>
        <w:rPr>
          <w:rFonts w:eastAsia="宋体"/>
          <w:szCs w:val="20"/>
        </w:rPr>
        <w:t>m</w:t>
      </w:r>
      <w:r>
        <w:rPr>
          <w:rFonts w:hint="eastAsia" w:eastAsia="宋体"/>
          <w:szCs w:val="20"/>
        </w:rPr>
        <w:t xml:space="preserve">TRP scenario. For example, in </w:t>
      </w:r>
      <w:r>
        <w:rPr>
          <w:rFonts w:eastAsia="宋体"/>
          <w:szCs w:val="20"/>
        </w:rPr>
        <w:t>m</w:t>
      </w:r>
      <w:r>
        <w:rPr>
          <w:rFonts w:hint="eastAsia" w:eastAsia="宋体"/>
          <w:szCs w:val="20"/>
        </w:rPr>
        <w:t xml:space="preserve">TRP with S-DCI, a TCI codepoint in a DCI </w:t>
      </w:r>
      <w:r>
        <w:rPr>
          <w:rFonts w:eastAsia="宋体"/>
          <w:szCs w:val="20"/>
        </w:rPr>
        <w:t xml:space="preserve">can </w:t>
      </w:r>
      <w:r>
        <w:rPr>
          <w:rFonts w:hint="eastAsia" w:eastAsia="宋体"/>
          <w:szCs w:val="20"/>
        </w:rPr>
        <w:t xml:space="preserve">indicate two TCI states, each </w:t>
      </w:r>
      <w:r>
        <w:rPr>
          <w:rFonts w:eastAsia="宋体"/>
          <w:szCs w:val="20"/>
        </w:rPr>
        <w:t>of which corresponds to</w:t>
      </w:r>
      <w:r>
        <w:rPr>
          <w:rFonts w:hint="eastAsia" w:eastAsia="宋体"/>
          <w:szCs w:val="20"/>
        </w:rPr>
        <w:t xml:space="preserve"> one </w:t>
      </w:r>
      <w:r>
        <w:rPr>
          <w:rFonts w:eastAsia="宋体"/>
          <w:szCs w:val="20"/>
        </w:rPr>
        <w:t xml:space="preserve">respective </w:t>
      </w:r>
      <w:r>
        <w:rPr>
          <w:rFonts w:hint="eastAsia" w:eastAsia="宋体"/>
          <w:szCs w:val="20"/>
        </w:rPr>
        <w:t>TRP. Considering the</w:t>
      </w:r>
      <w:r>
        <w:rPr>
          <w:rFonts w:eastAsia="宋体"/>
          <w:szCs w:val="20"/>
        </w:rPr>
        <w:t>re are still many remaining issues for sTRP (i.e., M=N=1) and many on-going discussion topics for Rel-17</w:t>
      </w:r>
      <w:r>
        <w:rPr>
          <w:rFonts w:hint="eastAsia" w:eastAsia="宋体"/>
          <w:szCs w:val="20"/>
        </w:rPr>
        <w:t xml:space="preserve"> </w:t>
      </w:r>
      <w:r>
        <w:rPr>
          <w:rFonts w:eastAsia="宋体"/>
          <w:szCs w:val="20"/>
        </w:rPr>
        <w:t>m</w:t>
      </w:r>
      <w:r>
        <w:rPr>
          <w:rFonts w:hint="eastAsia" w:eastAsia="宋体"/>
          <w:szCs w:val="20"/>
        </w:rPr>
        <w:t xml:space="preserve">TRP, we suggest to focus on unified TCI framework for </w:t>
      </w:r>
      <w:r>
        <w:rPr>
          <w:rFonts w:eastAsia="宋体"/>
          <w:szCs w:val="20"/>
        </w:rPr>
        <w:t>s</w:t>
      </w:r>
      <w:r>
        <w:rPr>
          <w:rFonts w:hint="eastAsia" w:eastAsia="宋体"/>
          <w:szCs w:val="20"/>
        </w:rPr>
        <w:t>TRP firstly</w:t>
      </w:r>
      <w:r>
        <w:rPr>
          <w:rFonts w:eastAsia="宋体"/>
          <w:szCs w:val="20"/>
        </w:rPr>
        <w:t xml:space="preserve"> and postpone the mTRP-related unified TCI discussion after the solution corresponding to sTRP is stable</w:t>
      </w:r>
      <w:r>
        <w:rPr>
          <w:rFonts w:hint="eastAsia" w:eastAsia="宋体"/>
          <w:szCs w:val="20"/>
        </w:rPr>
        <w:t xml:space="preserve">. </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4</w:t>
      </w:r>
      <w:r>
        <w:rPr>
          <w:rFonts w:hint="eastAsia" w:eastAsia="微软雅黑"/>
          <w:b/>
          <w:bCs/>
          <w:i/>
          <w:iCs/>
          <w:szCs w:val="20"/>
        </w:rPr>
        <w:t>:</w:t>
      </w:r>
      <w:r>
        <w:rPr>
          <w:rFonts w:hint="eastAsia" w:eastAsia="微软雅黑"/>
          <w:i/>
          <w:iCs/>
          <w:szCs w:val="20"/>
        </w:rPr>
        <w:t xml:space="preserve"> Regarding the number of </w:t>
      </w:r>
      <w:r>
        <w:rPr>
          <w:rFonts w:hint="eastAsia" w:eastAsia="宋体"/>
          <w:i/>
          <w:iCs/>
          <w:szCs w:val="20"/>
        </w:rPr>
        <w:t>TCI state</w:t>
      </w:r>
      <w:r>
        <w:rPr>
          <w:rFonts w:eastAsia="宋体"/>
          <w:i/>
          <w:iCs/>
          <w:szCs w:val="20"/>
        </w:rPr>
        <w:t>s to be indicated by a single command</w:t>
      </w:r>
      <w:r>
        <w:rPr>
          <w:rFonts w:hint="eastAsia" w:eastAsia="宋体"/>
          <w:i/>
          <w:iCs/>
          <w:szCs w:val="20"/>
        </w:rPr>
        <w:t xml:space="preserve"> for </w:t>
      </w:r>
      <w:r>
        <w:rPr>
          <w:rFonts w:eastAsia="宋体"/>
          <w:i/>
          <w:iCs/>
          <w:szCs w:val="20"/>
        </w:rPr>
        <w:t>DL and/or UL transmission</w:t>
      </w:r>
      <w:r>
        <w:rPr>
          <w:rFonts w:hint="eastAsia" w:eastAsia="微软雅黑"/>
          <w:i/>
          <w:iCs/>
          <w:szCs w:val="20"/>
        </w:rPr>
        <w:t>,</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M=N=1 for sTRP should be discussed with high priority</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M&gt;1, N&gt;1 for mTRP should be postponed after sTRP framework is stable.</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PUSCH port determination</w:t>
      </w:r>
    </w:p>
    <w:p>
      <w:pPr>
        <w:snapToGrid w:val="0"/>
        <w:spacing w:before="120" w:after="120" w:afterLines="50" w:line="300" w:lineRule="auto"/>
        <w:jc w:val="both"/>
        <w:rPr>
          <w:rFonts w:eastAsia="微软雅黑"/>
          <w:szCs w:val="20"/>
        </w:rPr>
      </w:pPr>
      <w:r>
        <w:rPr>
          <w:rFonts w:hint="eastAsia" w:eastAsia="微软雅黑"/>
          <w:szCs w:val="20"/>
        </w:rPr>
        <w:t xml:space="preserve">When a unified TCI state is indicated by a DCI format and can be applied to uplink, the association between the unified TCI state and SRS resource(s) should be identified for determining the applicable domain for SRS resource(s). The association can be implicitly or explicitly identified. </w:t>
      </w:r>
      <w:r>
        <w:rPr>
          <w:rFonts w:eastAsia="微软雅黑"/>
          <w:szCs w:val="20"/>
        </w:rPr>
        <w:t xml:space="preserve">PUSCH port(s) should be mapped with SRS port(s) (analogous to Rel.15/16), and the SRS is determined according to the </w:t>
      </w:r>
      <w:r>
        <w:rPr>
          <w:rFonts w:hint="eastAsia" w:eastAsia="微软雅黑"/>
          <w:szCs w:val="20"/>
        </w:rPr>
        <w:t xml:space="preserve">unified </w:t>
      </w:r>
      <w:r>
        <w:rPr>
          <w:rFonts w:eastAsia="微软雅黑"/>
          <w:szCs w:val="20"/>
        </w:rPr>
        <w:t>TCI state</w:t>
      </w:r>
      <w:r>
        <w:rPr>
          <w:rFonts w:hint="eastAsia" w:eastAsia="微软雅黑"/>
          <w:szCs w:val="20"/>
        </w:rPr>
        <w:t xml:space="preserve"> and/or SRI field in the DCI scheduling the PUSCH</w:t>
      </w:r>
    </w:p>
    <w:p>
      <w:pPr>
        <w:pStyle w:val="111"/>
        <w:numPr>
          <w:ilvl w:val="0"/>
          <w:numId w:val="7"/>
        </w:numPr>
        <w:snapToGrid w:val="0"/>
        <w:spacing w:before="120" w:after="120" w:afterLines="50" w:line="300" w:lineRule="auto"/>
        <w:ind w:firstLineChars="0"/>
        <w:jc w:val="both"/>
        <w:rPr>
          <w:szCs w:val="21"/>
        </w:rPr>
      </w:pPr>
      <w:r>
        <w:rPr>
          <w:rFonts w:eastAsia="微软雅黑"/>
          <w:szCs w:val="20"/>
        </w:rPr>
        <w:t>One example for PUSCH port determination</w:t>
      </w:r>
      <w:r>
        <w:rPr>
          <w:rFonts w:hint="eastAsia" w:eastAsia="微软雅黑"/>
          <w:szCs w:val="20"/>
        </w:rPr>
        <w:t xml:space="preserve"> </w:t>
      </w:r>
      <w:r>
        <w:rPr>
          <w:rFonts w:eastAsia="微软雅黑"/>
          <w:szCs w:val="20"/>
        </w:rPr>
        <w:t xml:space="preserve">according to the </w:t>
      </w:r>
      <w:r>
        <w:rPr>
          <w:rFonts w:hint="eastAsia" w:eastAsia="微软雅黑"/>
          <w:szCs w:val="20"/>
        </w:rPr>
        <w:t xml:space="preserve">unified </w:t>
      </w:r>
      <w:r>
        <w:rPr>
          <w:rFonts w:eastAsia="微软雅黑"/>
          <w:szCs w:val="20"/>
        </w:rPr>
        <w:t>TCI state is shown</w:t>
      </w:r>
      <w:r>
        <w:rPr>
          <w:rFonts w:hint="eastAsia"/>
          <w:szCs w:val="21"/>
        </w:rPr>
        <w:t xml:space="preserve"> in Fig</w:t>
      </w:r>
      <w:r>
        <w:rPr>
          <w:rFonts w:hint="eastAsia" w:eastAsia="宋体"/>
          <w:szCs w:val="21"/>
        </w:rPr>
        <w:t>ure</w:t>
      </w:r>
      <w:r>
        <w:rPr>
          <w:rFonts w:hint="eastAsia"/>
          <w:szCs w:val="21"/>
        </w:rPr>
        <w:t xml:space="preserve"> </w:t>
      </w:r>
      <w:r>
        <w:rPr>
          <w:rFonts w:hint="eastAsia" w:eastAsia="宋体"/>
          <w:szCs w:val="21"/>
        </w:rPr>
        <w:t>4</w:t>
      </w:r>
      <w:r>
        <w:rPr>
          <w:rFonts w:eastAsia="宋体"/>
          <w:szCs w:val="21"/>
        </w:rPr>
        <w:t>. Two</w:t>
      </w:r>
      <w:r>
        <w:rPr>
          <w:rFonts w:hint="eastAsia"/>
          <w:szCs w:val="21"/>
        </w:rPr>
        <w:t xml:space="preserve"> </w:t>
      </w:r>
      <w:r>
        <w:rPr>
          <w:szCs w:val="21"/>
        </w:rPr>
        <w:t>separate pools for TCI state and SRS resources can be configured by RRC, and in the MAC-CE level, a SRS resource (e.g., semi-persistent) can be activated based on the spatial relation of the associated TCI state</w:t>
      </w:r>
      <w:r>
        <w:rPr>
          <w:rFonts w:hint="eastAsia"/>
          <w:szCs w:val="21"/>
        </w:rPr>
        <w:t>.</w:t>
      </w:r>
      <w:r>
        <w:rPr>
          <w:szCs w:val="21"/>
        </w:rPr>
        <w:t xml:space="preserve"> When the associated TCI state is indicated by a DCI command, the SRS is also determined and applied to the subsequent PUSCH transmission.</w:t>
      </w:r>
      <w:r>
        <w:rPr>
          <w:rFonts w:eastAsia="宋体"/>
        </w:rPr>
        <w:t xml:space="preserve"> </w:t>
      </w:r>
      <w:r>
        <w:rPr>
          <w:rFonts w:hint="eastAsia" w:eastAsia="宋体"/>
        </w:rPr>
        <w:t xml:space="preserve">More </w:t>
      </w:r>
      <w:r>
        <w:rPr>
          <w:rFonts w:eastAsia="宋体"/>
        </w:rPr>
        <w:t>details can be found in our companion contribution [2].</w:t>
      </w:r>
    </w:p>
    <w:p>
      <w:pPr>
        <w:pStyle w:val="109"/>
        <w:spacing w:before="60" w:beforeLines="25" w:after="60" w:afterLines="25"/>
        <w:ind w:firstLine="0" w:firstLineChars="0"/>
        <w:jc w:val="both"/>
        <w:rPr>
          <w:rFonts w:eastAsia="微软雅黑"/>
          <w:i/>
          <w:iCs/>
          <w:szCs w:val="20"/>
        </w:rPr>
      </w:pPr>
      <w:r>
        <w:rPr>
          <w:rFonts w:hint="eastAsia" w:eastAsia="微软雅黑"/>
          <w:b/>
          <w:bCs/>
          <w:i/>
          <w:iCs/>
          <w:szCs w:val="20"/>
        </w:rPr>
        <w:t>Proposal 5:</w:t>
      </w:r>
      <w:r>
        <w:rPr>
          <w:rFonts w:hint="eastAsia" w:eastAsia="微软雅黑"/>
          <w:i/>
          <w:iCs/>
          <w:szCs w:val="20"/>
        </w:rPr>
        <w:t xml:space="preserve"> </w:t>
      </w:r>
      <w:r>
        <w:rPr>
          <w:rFonts w:eastAsia="微软雅黑"/>
          <w:i/>
          <w:iCs/>
          <w:szCs w:val="20"/>
        </w:rPr>
        <w:t>PUSCH port(s) should be mapped with SRS port(s) in a SRS resource that is analogous to Rel.15/16</w:t>
      </w:r>
    </w:p>
    <w:p>
      <w:pPr>
        <w:pStyle w:val="109"/>
        <w:numPr>
          <w:ilvl w:val="0"/>
          <w:numId w:val="7"/>
        </w:numPr>
        <w:spacing w:before="60" w:beforeLines="25" w:after="60" w:afterLines="25"/>
        <w:ind w:firstLineChars="0"/>
        <w:jc w:val="both"/>
        <w:rPr>
          <w:rFonts w:eastAsiaTheme="minorEastAsia"/>
          <w:i/>
          <w:iCs/>
        </w:rPr>
      </w:pPr>
      <w:r>
        <w:rPr>
          <w:rFonts w:eastAsia="微软雅黑"/>
          <w:i/>
          <w:iCs/>
          <w:szCs w:val="20"/>
        </w:rPr>
        <w:t xml:space="preserve">The SRS resource is determined according to the </w:t>
      </w:r>
      <w:r>
        <w:rPr>
          <w:rFonts w:eastAsiaTheme="minorEastAsia"/>
          <w:i/>
          <w:iCs/>
          <w:szCs w:val="20"/>
        </w:rPr>
        <w:t>indicated</w:t>
      </w:r>
      <w:r>
        <w:rPr>
          <w:rFonts w:eastAsia="微软雅黑"/>
          <w:i/>
          <w:iCs/>
          <w:szCs w:val="20"/>
        </w:rPr>
        <w:t xml:space="preserve"> TCI state</w:t>
      </w:r>
      <w:r>
        <w:rPr>
          <w:rFonts w:hint="eastAsia" w:eastAsia="微软雅黑"/>
          <w:i/>
          <w:iCs/>
          <w:szCs w:val="20"/>
        </w:rPr>
        <w:t xml:space="preserve"> </w:t>
      </w:r>
      <w:r>
        <w:rPr>
          <w:rFonts w:eastAsia="微软雅黑"/>
          <w:i/>
          <w:iCs/>
          <w:szCs w:val="20"/>
        </w:rPr>
        <w:t>by DCI</w:t>
      </w:r>
      <w:r>
        <w:rPr>
          <w:rFonts w:hint="eastAsia" w:eastAsia="微软雅黑"/>
          <w:i/>
          <w:iCs/>
          <w:szCs w:val="20"/>
        </w:rPr>
        <w:t>.</w:t>
      </w:r>
    </w:p>
    <w:p>
      <w:pPr>
        <w:jc w:val="center"/>
      </w:pPr>
      <w:r>
        <w:object>
          <v:shape id="_x0000_i1027" o:spt="75" type="#_x0000_t75" style="height:240.5pt;width:337.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jc w:val="center"/>
        <w:rPr>
          <w:rFonts w:eastAsia="宋体"/>
        </w:rPr>
      </w:pPr>
      <w:r>
        <w:rPr>
          <w:rFonts w:hint="eastAsia"/>
          <w:b/>
          <w:bCs/>
        </w:rPr>
        <w:t>Fig</w:t>
      </w:r>
      <w:r>
        <w:rPr>
          <w:rFonts w:hint="eastAsia" w:eastAsia="宋体"/>
          <w:b/>
          <w:bCs/>
        </w:rPr>
        <w:t>ure</w:t>
      </w:r>
      <w:r>
        <w:rPr>
          <w:rFonts w:hint="eastAsia"/>
          <w:b/>
          <w:bCs/>
        </w:rPr>
        <w:t xml:space="preserve"> </w:t>
      </w:r>
      <w:r>
        <w:rPr>
          <w:rFonts w:hint="eastAsia" w:eastAsia="宋体"/>
          <w:b/>
          <w:bCs/>
        </w:rPr>
        <w:t>4</w:t>
      </w:r>
      <w:r>
        <w:rPr>
          <w:rFonts w:hint="eastAsia" w:eastAsia="宋体"/>
        </w:rPr>
        <w:t xml:space="preserve"> </w:t>
      </w:r>
      <w:r>
        <w:rPr>
          <w:rFonts w:eastAsia="微软雅黑"/>
          <w:szCs w:val="20"/>
        </w:rPr>
        <w:t>SRS determination for PUSCH transmission in unified TCI framework</w:t>
      </w:r>
    </w:p>
    <w:p>
      <w:pPr>
        <w:numPr>
          <w:ilvl w:val="1"/>
          <w:numId w:val="5"/>
        </w:numPr>
        <w:tabs>
          <w:tab w:val="clear" w:pos="576"/>
        </w:tabs>
        <w:snapToGrid w:val="0"/>
        <w:spacing w:before="240" w:after="120" w:afterLines="50" w:line="240" w:lineRule="auto"/>
        <w:ind w:left="567" w:hanging="567"/>
        <w:jc w:val="both"/>
        <w:outlineLvl w:val="1"/>
        <w:rPr>
          <w:rFonts w:eastAsia="宋体"/>
          <w:b/>
          <w:bCs/>
          <w:sz w:val="24"/>
          <w:szCs w:val="24"/>
        </w:rPr>
      </w:pPr>
      <w:r>
        <w:rPr>
          <w:rFonts w:hint="eastAsia" w:eastAsia="宋体"/>
          <w:b/>
          <w:bCs/>
          <w:sz w:val="24"/>
          <w:szCs w:val="24"/>
        </w:rPr>
        <w:t>Signaling design for DCI based TCI state</w:t>
      </w:r>
      <w:r>
        <w:rPr>
          <w:rFonts w:eastAsia="宋体"/>
          <w:b/>
          <w:bCs/>
          <w:sz w:val="24"/>
          <w:szCs w:val="24"/>
        </w:rPr>
        <w:t xml:space="preserve"> </w:t>
      </w:r>
      <w:r>
        <w:rPr>
          <w:rFonts w:hint="eastAsia" w:eastAsia="宋体"/>
          <w:b/>
          <w:bCs/>
          <w:sz w:val="24"/>
          <w:szCs w:val="24"/>
        </w:rPr>
        <w:t>indication</w:t>
      </w:r>
    </w:p>
    <w:p>
      <w:pPr>
        <w:snapToGrid w:val="0"/>
        <w:spacing w:before="120" w:after="120" w:afterLines="50" w:line="300" w:lineRule="auto"/>
        <w:jc w:val="both"/>
        <w:rPr>
          <w:rFonts w:eastAsia="微软雅黑"/>
          <w:szCs w:val="20"/>
          <w:lang w:val="en-GB"/>
        </w:rPr>
      </w:pPr>
      <w:r>
        <w:rPr>
          <w:rFonts w:hint="eastAsia" w:eastAsia="微软雅黑"/>
          <w:szCs w:val="20"/>
          <w:lang w:val="en-GB"/>
        </w:rPr>
        <w:t>I</w:t>
      </w:r>
      <w:r>
        <w:rPr>
          <w:rFonts w:eastAsia="微软雅黑"/>
          <w:szCs w:val="20"/>
          <w:lang w:val="en-GB"/>
        </w:rPr>
        <w:t>n this subsection, we discuss signalling design for the DCI based TCI state indication</w:t>
      </w:r>
      <w:r>
        <w:rPr>
          <w:rFonts w:hint="eastAsia" w:eastAsia="微软雅黑"/>
          <w:szCs w:val="20"/>
        </w:rPr>
        <w:t>, including</w:t>
      </w:r>
      <w:r>
        <w:rPr>
          <w:rFonts w:eastAsia="微软雅黑"/>
          <w:szCs w:val="20"/>
          <w:lang w:val="en-GB"/>
        </w:rPr>
        <w:t xml:space="preserve"> DCI format, </w:t>
      </w:r>
      <w:r>
        <w:rPr>
          <w:rFonts w:cs="Times"/>
          <w:szCs w:val="20"/>
        </w:rPr>
        <w:t>acknowledgment mechanism</w:t>
      </w:r>
      <w:r>
        <w:rPr>
          <w:rFonts w:hint="eastAsia" w:cs="Times"/>
          <w:szCs w:val="20"/>
        </w:rPr>
        <w:t xml:space="preserve"> for the DCI, </w:t>
      </w:r>
      <w:r>
        <w:rPr>
          <w:rFonts w:eastAsia="微软雅黑"/>
          <w:szCs w:val="20"/>
          <w:lang w:val="en-GB"/>
        </w:rPr>
        <w:t>retransmission of DCI indication</w:t>
      </w:r>
      <w:r>
        <w:rPr>
          <w:rFonts w:hint="eastAsia" w:eastAsia="微软雅黑"/>
          <w:szCs w:val="20"/>
        </w:rPr>
        <w:t>, application time of the TCI state indication</w:t>
      </w:r>
      <w:r>
        <w:rPr>
          <w:rFonts w:eastAsia="微软雅黑"/>
          <w:szCs w:val="20"/>
          <w:lang w:val="en-GB"/>
        </w:rPr>
        <w:t>.</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Additional DCI format</w:t>
      </w:r>
    </w:p>
    <w:p>
      <w:pPr>
        <w:pStyle w:val="109"/>
        <w:widowControl w:val="0"/>
        <w:snapToGrid w:val="0"/>
        <w:spacing w:before="120" w:after="120" w:afterLines="50" w:line="300" w:lineRule="auto"/>
        <w:ind w:firstLine="0" w:firstLineChars="0"/>
        <w:jc w:val="both"/>
        <w:rPr>
          <w:rFonts w:eastAsia="宋体"/>
        </w:rPr>
      </w:pPr>
      <w:r>
        <w:t xml:space="preserve">In RAN1#103-e, DCI format </w:t>
      </w:r>
      <w:r>
        <w:rPr>
          <w:rFonts w:hint="eastAsia"/>
        </w:rPr>
        <w:t>1_1</w:t>
      </w:r>
      <w:r>
        <w:rPr>
          <w:rFonts w:hint="eastAsia" w:eastAsia="宋体"/>
        </w:rPr>
        <w:t xml:space="preserve"> and </w:t>
      </w:r>
      <w:r>
        <w:rPr>
          <w:rFonts w:hint="eastAsia"/>
        </w:rPr>
        <w:t>1_2</w:t>
      </w:r>
      <w:r>
        <w:rPr>
          <w:rFonts w:hint="eastAsia" w:eastAsia="宋体"/>
        </w:rPr>
        <w:t xml:space="preserve"> have been agreed </w:t>
      </w:r>
      <w:r>
        <w:rPr>
          <w:rFonts w:eastAsia="宋体"/>
        </w:rPr>
        <w:t>as</w:t>
      </w:r>
      <w:r>
        <w:rPr>
          <w:rFonts w:hint="eastAsia" w:eastAsia="宋体"/>
        </w:rPr>
        <w:t xml:space="preserve"> </w:t>
      </w:r>
      <w:r>
        <w:rPr>
          <w:rFonts w:eastAsia="宋体"/>
        </w:rPr>
        <w:t>a command</w:t>
      </w:r>
      <w:r>
        <w:rPr>
          <w:rFonts w:hint="eastAsia" w:eastAsia="宋体"/>
        </w:rPr>
        <w:t xml:space="preserve"> </w:t>
      </w:r>
      <w:r>
        <w:rPr>
          <w:rFonts w:eastAsia="宋体"/>
        </w:rPr>
        <w:t xml:space="preserve">of indicating </w:t>
      </w:r>
      <w:r>
        <w:rPr>
          <w:rFonts w:hint="eastAsia" w:eastAsia="宋体"/>
        </w:rPr>
        <w:t>common TCI state</w:t>
      </w:r>
      <w:r>
        <w:rPr>
          <w:rFonts w:eastAsia="宋体"/>
        </w:rPr>
        <w:t>(s)</w:t>
      </w:r>
      <w:r>
        <w:rPr>
          <w:rFonts w:hint="eastAsia" w:eastAsia="宋体"/>
        </w:rPr>
        <w:t xml:space="preserve"> for both joint and separate </w:t>
      </w:r>
      <w:r>
        <w:rPr>
          <w:rFonts w:eastAsia="宋体"/>
        </w:rPr>
        <w:t xml:space="preserve">DL and UL </w:t>
      </w:r>
      <w:r>
        <w:rPr>
          <w:rFonts w:hint="eastAsia" w:eastAsia="宋体"/>
        </w:rPr>
        <w:t>beam indication schemes. Ad</w:t>
      </w:r>
      <w:r>
        <w:rPr>
          <w:rFonts w:eastAsia="宋体"/>
        </w:rPr>
        <w:t>ditional DCI format, especially for UL TCI state indication, was also discussed, and the following agreements were reached.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hint="eastAsia" w:cs="Times"/>
                <w:b/>
                <w:bCs/>
                <w:szCs w:val="20"/>
                <w:u w:val="single"/>
              </w:rPr>
              <w:t>Agreement</w:t>
            </w:r>
          </w:p>
          <w:p>
            <w:pPr>
              <w:snapToGrid w:val="0"/>
              <w:spacing w:after="0" w:line="240" w:lineRule="auto"/>
              <w:jc w:val="both"/>
              <w:rPr>
                <w:rFonts w:cs="Times"/>
                <w:szCs w:val="20"/>
              </w:rPr>
            </w:pPr>
            <w:r>
              <w:rPr>
                <w:rFonts w:cs="Times"/>
                <w:szCs w:val="20"/>
              </w:rPr>
              <w:t>In RAN1#104-e, on the Rel-17 L1-based TCI state update (beam indication) for the unified TCI framework, interested companies are to provide the following:</w:t>
            </w:r>
          </w:p>
          <w:p>
            <w:pPr>
              <w:pStyle w:val="111"/>
              <w:numPr>
                <w:ilvl w:val="0"/>
                <w:numId w:val="12"/>
              </w:numPr>
              <w:snapToGrid w:val="0"/>
              <w:spacing w:after="0" w:line="240" w:lineRule="auto"/>
              <w:ind w:firstLineChars="0"/>
              <w:contextualSpacing/>
              <w:jc w:val="both"/>
              <w:rPr>
                <w:rFonts w:cs="Times"/>
                <w:szCs w:val="20"/>
              </w:rPr>
            </w:pPr>
            <w:r>
              <w:rPr>
                <w:rFonts w:cs="Times"/>
                <w:szCs w:val="20"/>
              </w:rPr>
              <w:t>Whether/how to support at least one additional DCI format dedicated for UL-only beam indication (in case of separate DL/UL), including:</w:t>
            </w:r>
          </w:p>
          <w:p>
            <w:pPr>
              <w:pStyle w:val="111"/>
              <w:numPr>
                <w:ilvl w:val="1"/>
                <w:numId w:val="12"/>
              </w:numPr>
              <w:snapToGrid w:val="0"/>
              <w:spacing w:after="0" w:line="240" w:lineRule="auto"/>
              <w:ind w:firstLineChars="0"/>
              <w:contextualSpacing/>
              <w:jc w:val="both"/>
              <w:rPr>
                <w:rFonts w:cs="Times"/>
                <w:szCs w:val="20"/>
              </w:rPr>
            </w:pPr>
            <w:r>
              <w:rPr>
                <w:rFonts w:cs="Times"/>
                <w:szCs w:val="20"/>
              </w:rPr>
              <w:t>Whether the format can also be used for DL-only beam indication (in case of separate DL/UL) and joint DL/UL beam indication</w:t>
            </w:r>
          </w:p>
          <w:p>
            <w:pPr>
              <w:pStyle w:val="111"/>
              <w:numPr>
                <w:ilvl w:val="1"/>
                <w:numId w:val="12"/>
              </w:numPr>
              <w:snapToGrid w:val="0"/>
              <w:spacing w:after="0" w:line="240" w:lineRule="auto"/>
              <w:ind w:firstLineChars="0"/>
              <w:contextualSpacing/>
              <w:jc w:val="both"/>
              <w:rPr>
                <w:rFonts w:cs="Times"/>
                <w:szCs w:val="20"/>
              </w:rPr>
            </w:pPr>
            <w:r>
              <w:rPr>
                <w:rFonts w:cs="Times"/>
                <w:szCs w:val="20"/>
              </w:rPr>
              <w:t>Whether it is a “brand new” format or based on some extension of the existing DCI formats other than 1_1 and 1_2 (e.g. 1_0, 0_0, 0_1, or 0_2)</w:t>
            </w:r>
          </w:p>
          <w:p>
            <w:pPr>
              <w:pStyle w:val="111"/>
              <w:numPr>
                <w:ilvl w:val="2"/>
                <w:numId w:val="12"/>
              </w:numPr>
              <w:snapToGrid w:val="0"/>
              <w:spacing w:after="0" w:line="240" w:lineRule="auto"/>
              <w:ind w:firstLineChars="0"/>
              <w:contextualSpacing/>
              <w:jc w:val="both"/>
              <w:rPr>
                <w:rFonts w:cs="Times"/>
                <w:szCs w:val="20"/>
              </w:rPr>
            </w:pPr>
            <w:r>
              <w:rPr>
                <w:rFonts w:cs="Times"/>
                <w:szCs w:val="20"/>
              </w:rPr>
              <w:t>If UL-related DCI is used, whether it is accompanied with UL grant or not</w:t>
            </w:r>
          </w:p>
          <w:p>
            <w:pPr>
              <w:pStyle w:val="111"/>
              <w:widowControl w:val="0"/>
              <w:numPr>
                <w:ilvl w:val="1"/>
                <w:numId w:val="12"/>
              </w:numPr>
              <w:snapToGrid w:val="0"/>
              <w:spacing w:before="120" w:after="120" w:afterLines="50" w:line="240" w:lineRule="auto"/>
              <w:ind w:firstLine="0" w:firstLineChars="0"/>
              <w:contextualSpacing/>
              <w:jc w:val="both"/>
              <w:rPr>
                <w:rFonts w:cs="Times"/>
                <w:szCs w:val="20"/>
              </w:rPr>
            </w:pPr>
            <w:r>
              <w:rPr>
                <w:rFonts w:cs="Times"/>
                <w:szCs w:val="20"/>
              </w:rPr>
              <w:t>Acknowledgment mechanism</w:t>
            </w:r>
          </w:p>
        </w:tc>
      </w:tr>
    </w:tbl>
    <w:p>
      <w:pPr>
        <w:pStyle w:val="109"/>
        <w:widowControl w:val="0"/>
        <w:snapToGrid w:val="0"/>
        <w:spacing w:before="120" w:after="120" w:afterLines="50" w:line="300" w:lineRule="auto"/>
        <w:ind w:firstLine="0" w:firstLineChars="0"/>
        <w:jc w:val="both"/>
        <w:rPr>
          <w:rFonts w:eastAsia="宋体"/>
        </w:rPr>
      </w:pPr>
      <w:r>
        <w:rPr>
          <w:rFonts w:hint="eastAsia" w:eastAsia="宋体"/>
        </w:rPr>
        <w:t>R</w:t>
      </w:r>
      <w:r>
        <w:rPr>
          <w:rFonts w:eastAsia="宋体"/>
        </w:rPr>
        <w:t>egarding additional DCI format especially for UL-only beam indication, our views are provided as follows.</w:t>
      </w:r>
    </w:p>
    <w:p>
      <w:pPr>
        <w:pStyle w:val="109"/>
        <w:widowControl w:val="0"/>
        <w:numPr>
          <w:ilvl w:val="0"/>
          <w:numId w:val="7"/>
        </w:numPr>
        <w:snapToGrid w:val="0"/>
        <w:spacing w:before="120" w:after="120" w:afterLines="50" w:line="300" w:lineRule="auto"/>
        <w:ind w:left="363" w:hanging="363" w:firstLineChars="0"/>
        <w:jc w:val="both"/>
        <w:rPr>
          <w:rFonts w:eastAsia="宋体"/>
        </w:rPr>
      </w:pPr>
      <w:r>
        <w:rPr>
          <w:rFonts w:hint="eastAsia" w:eastAsia="宋体"/>
        </w:rPr>
        <w:t>In order to support flexible indication of an UL beam</w:t>
      </w:r>
      <w:r>
        <w:rPr>
          <w:rFonts w:eastAsia="宋体"/>
        </w:rPr>
        <w:t xml:space="preserve"> rather than mandatorily scheduling PDSCH</w:t>
      </w:r>
      <w:r>
        <w:rPr>
          <w:rFonts w:hint="eastAsia" w:eastAsia="宋体"/>
        </w:rPr>
        <w:t>, DCI format 0_1 and 0_2 can be further used for separate beam indication.</w:t>
      </w:r>
    </w:p>
    <w:p>
      <w:pPr>
        <w:pStyle w:val="109"/>
        <w:widowControl w:val="0"/>
        <w:numPr>
          <w:ilvl w:val="0"/>
          <w:numId w:val="7"/>
        </w:numPr>
        <w:snapToGrid w:val="0"/>
        <w:spacing w:before="120" w:after="120" w:afterLines="50" w:line="300" w:lineRule="auto"/>
        <w:ind w:left="363" w:hanging="363" w:firstLineChars="0"/>
        <w:jc w:val="both"/>
        <w:rPr>
          <w:rFonts w:eastAsia="宋体"/>
        </w:rPr>
      </w:pPr>
      <w:r>
        <w:rPr>
          <w:rFonts w:eastAsia="宋体"/>
        </w:rPr>
        <w:t xml:space="preserve">To be more specific, </w:t>
      </w:r>
      <w:r>
        <w:rPr>
          <w:rFonts w:hint="eastAsia" w:eastAsia="宋体"/>
        </w:rPr>
        <w:t>SRI field in DCI format 0_1 and 0_2 can be</w:t>
      </w:r>
      <w:r>
        <w:rPr>
          <w:rFonts w:eastAsia="宋体"/>
        </w:rPr>
        <w:t xml:space="preserve"> considered to be</w:t>
      </w:r>
      <w:r>
        <w:rPr>
          <w:rFonts w:hint="eastAsia" w:eastAsia="宋体"/>
        </w:rPr>
        <w:t xml:space="preserve"> replaced by TCI field, where a TCI state can be associated with SRS resource</w:t>
      </w:r>
      <w:r>
        <w:rPr>
          <w:rFonts w:eastAsia="宋体"/>
        </w:rPr>
        <w:t xml:space="preserve"> by a higher layer signaling, e.g., MAC-CE</w:t>
      </w:r>
      <w:r>
        <w:rPr>
          <w:rFonts w:hint="eastAsia" w:eastAsia="宋体"/>
        </w:rPr>
        <w:t>.</w:t>
      </w:r>
    </w:p>
    <w:p>
      <w:pPr>
        <w:pStyle w:val="109"/>
        <w:widowControl w:val="0"/>
        <w:snapToGrid w:val="0"/>
        <w:spacing w:before="120" w:after="120" w:afterLines="50" w:line="300" w:lineRule="auto"/>
        <w:ind w:firstLine="0" w:firstLineChars="0"/>
        <w:jc w:val="both"/>
        <w:rPr>
          <w:rFonts w:eastAsia="宋体"/>
        </w:rPr>
      </w:pPr>
      <w:r>
        <w:rPr>
          <w:rFonts w:eastAsia="宋体"/>
        </w:rPr>
        <w:t>Alternatively, the g</w:t>
      </w:r>
      <w:r>
        <w:rPr>
          <w:rFonts w:hint="eastAsia" w:eastAsia="宋体"/>
        </w:rPr>
        <w:t xml:space="preserve">roup common DCI format can be further studied </w:t>
      </w:r>
      <w:r>
        <w:rPr>
          <w:rFonts w:eastAsia="宋体"/>
        </w:rPr>
        <w:t>for serving a UE group</w:t>
      </w:r>
      <w:r>
        <w:rPr>
          <w:rFonts w:hint="eastAsia" w:eastAsia="宋体"/>
        </w:rPr>
        <w:t>,</w:t>
      </w:r>
      <w:r>
        <w:rPr>
          <w:rFonts w:eastAsia="宋体"/>
        </w:rPr>
        <w:t xml:space="preserve"> e.g., in a train carriage or a bus with the similar mobility trajectory</w:t>
      </w:r>
      <w:r>
        <w:rPr>
          <w:rFonts w:hint="eastAsia" w:eastAsia="宋体"/>
        </w:rPr>
        <w:t>.</w:t>
      </w:r>
    </w:p>
    <w:p>
      <w:pPr>
        <w:pStyle w:val="109"/>
        <w:snapToGrid w:val="0"/>
        <w:spacing w:before="120" w:after="120" w:afterLines="50" w:line="300" w:lineRule="auto"/>
        <w:ind w:firstLine="0" w:firstLineChars="0"/>
        <w:jc w:val="both"/>
        <w:rPr>
          <w:rFonts w:eastAsia="微软雅黑"/>
          <w:i/>
          <w:iCs/>
          <w:szCs w:val="20"/>
        </w:rPr>
      </w:pPr>
      <w:r>
        <w:rPr>
          <w:rFonts w:hint="eastAsia" w:eastAsia="微软雅黑"/>
          <w:b/>
          <w:bCs/>
          <w:i/>
          <w:iCs/>
          <w:szCs w:val="20"/>
        </w:rPr>
        <w:t>Proposal 6:</w:t>
      </w:r>
      <w:r>
        <w:rPr>
          <w:rFonts w:hint="eastAsia" w:eastAsia="微软雅黑"/>
          <w:i/>
          <w:iCs/>
          <w:szCs w:val="20"/>
        </w:rPr>
        <w:t xml:space="preserve"> Regarding </w:t>
      </w:r>
      <w:r>
        <w:rPr>
          <w:rFonts w:eastAsia="微软雅黑"/>
          <w:i/>
          <w:iCs/>
          <w:szCs w:val="20"/>
        </w:rPr>
        <w:t>additional</w:t>
      </w:r>
      <w:r>
        <w:rPr>
          <w:rFonts w:hint="eastAsia" w:eastAsia="微软雅黑"/>
          <w:i/>
          <w:iCs/>
          <w:szCs w:val="20"/>
        </w:rPr>
        <w:t xml:space="preserve"> DCI format indicating the common TCI state,</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宋体"/>
          <w:i/>
          <w:iCs/>
        </w:rPr>
        <w:t xml:space="preserve">DCI format 0_1 and 0_2 can be further used for separate beam indication, </w:t>
      </w:r>
    </w:p>
    <w:p>
      <w:pPr>
        <w:pStyle w:val="109"/>
        <w:numPr>
          <w:ilvl w:val="1"/>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SRI field in DCI format 0_1 and 0_2 can be replaced by TCI field, where a TCI state can be associated with SRS resource.</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eastAsia="宋体"/>
          <w:i/>
          <w:iCs/>
        </w:rPr>
        <w:t>Group common DCI format and new DCI format can be further studied for serving a group of UEs with similar mobility trajectory.</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Acknowledgment(ACK) mechanism directly in response to DCI format 1_1 and 1_2</w:t>
      </w:r>
    </w:p>
    <w:p>
      <w:pPr>
        <w:pStyle w:val="109"/>
        <w:snapToGrid w:val="0"/>
        <w:spacing w:before="120" w:after="120" w:afterLines="50" w:line="300" w:lineRule="auto"/>
        <w:ind w:firstLine="0" w:firstLineChars="0"/>
        <w:jc w:val="both"/>
        <w:rPr>
          <w:rFonts w:eastAsia="宋体"/>
        </w:rPr>
      </w:pPr>
      <w:r>
        <w:rPr>
          <w:rFonts w:eastAsia="宋体"/>
        </w:rPr>
        <w:t xml:space="preserve">In RAN1#103-e, the ACK/NACK of </w:t>
      </w:r>
      <w:r>
        <w:rPr>
          <w:rFonts w:hint="eastAsia" w:eastAsia="宋体"/>
        </w:rPr>
        <w:t xml:space="preserve">PDSCH scheduled by the DCI </w:t>
      </w:r>
      <w:r>
        <w:rPr>
          <w:rFonts w:eastAsia="宋体"/>
        </w:rPr>
        <w:t xml:space="preserve">format 1_1 and 1_2 </w:t>
      </w:r>
      <w:r>
        <w:rPr>
          <w:rFonts w:hint="eastAsia" w:eastAsia="宋体"/>
        </w:rPr>
        <w:t>can be used as an ACK for the DCI</w:t>
      </w:r>
      <w:r>
        <w:rPr>
          <w:rFonts w:eastAsia="宋体"/>
        </w:rPr>
        <w:t>. The following agreement has been reached.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hint="eastAsia" w:cs="Times"/>
                <w:b/>
                <w:bCs/>
                <w:szCs w:val="20"/>
                <w:u w:val="single"/>
              </w:rPr>
              <w:t>Agreement</w:t>
            </w:r>
          </w:p>
          <w:p>
            <w:pPr>
              <w:snapToGrid w:val="0"/>
              <w:spacing w:after="0" w:line="240" w:lineRule="auto"/>
              <w:jc w:val="both"/>
              <w:rPr>
                <w:rFonts w:cs="Times"/>
                <w:szCs w:val="20"/>
              </w:rPr>
            </w:pPr>
            <w:r>
              <w:rPr>
                <w:rFonts w:cs="Times"/>
                <w:szCs w:val="20"/>
              </w:rPr>
              <w:t>On beam indication signaling medium to support joint or separate DL/UL beam indication in Rel.17 unified TCI framework:</w:t>
            </w:r>
          </w:p>
          <w:p>
            <w:pPr>
              <w:pStyle w:val="111"/>
              <w:numPr>
                <w:ilvl w:val="0"/>
                <w:numId w:val="13"/>
              </w:numPr>
              <w:snapToGrid w:val="0"/>
              <w:spacing w:after="0" w:line="240" w:lineRule="auto"/>
              <w:ind w:firstLineChars="0"/>
              <w:jc w:val="both"/>
              <w:rPr>
                <w:rFonts w:cs="Times"/>
                <w:szCs w:val="20"/>
              </w:rPr>
            </w:pPr>
            <w:r>
              <w:rPr>
                <w:rFonts w:cs="Times"/>
                <w:szCs w:val="20"/>
              </w:rPr>
              <w:t xml:space="preserve">Support L1-based beam indication using at least UE-specific (unicast) DCI to indicate joint or separate DL/UL beam indication from the active TCI states </w:t>
            </w:r>
          </w:p>
          <w:p>
            <w:pPr>
              <w:pStyle w:val="111"/>
              <w:numPr>
                <w:ilvl w:val="1"/>
                <w:numId w:val="13"/>
              </w:numPr>
              <w:snapToGrid w:val="0"/>
              <w:spacing w:after="0" w:line="240" w:lineRule="auto"/>
              <w:ind w:firstLineChars="0"/>
              <w:jc w:val="both"/>
              <w:rPr>
                <w:rFonts w:cs="Times"/>
                <w:szCs w:val="20"/>
              </w:rPr>
            </w:pPr>
            <w:r>
              <w:rPr>
                <w:rFonts w:cs="Times"/>
                <w:szCs w:val="20"/>
              </w:rPr>
              <w:t>The existing DCI formats 1_1 and 1_2 are reused for beam indication</w:t>
            </w:r>
          </w:p>
          <w:p>
            <w:pPr>
              <w:pStyle w:val="111"/>
              <w:numPr>
                <w:ilvl w:val="1"/>
                <w:numId w:val="13"/>
              </w:numPr>
              <w:snapToGrid w:val="0"/>
              <w:spacing w:after="0" w:line="240" w:lineRule="auto"/>
              <w:ind w:firstLineChars="0"/>
              <w:jc w:val="both"/>
              <w:rPr>
                <w:rFonts w:cs="Times"/>
                <w:szCs w:val="20"/>
              </w:rPr>
            </w:pPr>
            <w:r>
              <w:rPr>
                <w:rFonts w:cs="Times"/>
                <w:szCs w:val="20"/>
              </w:rPr>
              <w:t>Support a mechanism for UE to acknowledge successful decoding of beam indication</w:t>
            </w:r>
          </w:p>
          <w:p>
            <w:pPr>
              <w:pStyle w:val="111"/>
              <w:numPr>
                <w:ilvl w:val="2"/>
                <w:numId w:val="13"/>
              </w:numPr>
              <w:snapToGrid w:val="0"/>
              <w:spacing w:after="0" w:line="240" w:lineRule="auto"/>
              <w:ind w:firstLineChars="0"/>
              <w:jc w:val="both"/>
              <w:rPr>
                <w:rFonts w:cs="Times"/>
                <w:szCs w:val="20"/>
                <w:highlight w:val="yellow"/>
              </w:rPr>
            </w:pPr>
            <w:r>
              <w:rPr>
                <w:rFonts w:cs="Times"/>
                <w:szCs w:val="20"/>
                <w:highlight w:val="yellow"/>
              </w:rPr>
              <w:t>The ACK/NAK of the PDSCH scheduled by the DCI carrying the beam indication can be used as an ACK also for the DCI</w:t>
            </w:r>
          </w:p>
          <w:p>
            <w:pPr>
              <w:pStyle w:val="111"/>
              <w:numPr>
                <w:ilvl w:val="2"/>
                <w:numId w:val="13"/>
              </w:numPr>
              <w:snapToGrid w:val="0"/>
              <w:spacing w:before="120" w:after="120" w:afterLines="50" w:line="240" w:lineRule="auto"/>
              <w:ind w:firstLine="0" w:firstLineChars="0"/>
              <w:jc w:val="both"/>
              <w:rPr>
                <w:rFonts w:cs="Times"/>
                <w:szCs w:val="20"/>
              </w:rPr>
            </w:pPr>
            <w:r>
              <w:rPr>
                <w:rFonts w:cs="Times"/>
                <w:szCs w:val="20"/>
              </w:rPr>
              <w:t>FFS: Whether any additional specification support is needed</w:t>
            </w:r>
          </w:p>
          <w:p>
            <w:pPr>
              <w:snapToGrid w:val="0"/>
              <w:spacing w:after="0"/>
              <w:jc w:val="both"/>
              <w:rPr>
                <w:rFonts w:cs="Times"/>
                <w:b/>
                <w:bCs/>
                <w:szCs w:val="20"/>
                <w:u w:val="single"/>
              </w:rPr>
            </w:pPr>
            <w:r>
              <w:rPr>
                <w:rFonts w:hint="eastAsia" w:cs="Times"/>
                <w:b/>
                <w:bCs/>
                <w:szCs w:val="20"/>
                <w:u w:val="single"/>
              </w:rPr>
              <w:t>Agreement</w:t>
            </w:r>
          </w:p>
          <w:p>
            <w:pPr>
              <w:snapToGrid w:val="0"/>
              <w:spacing w:after="0" w:line="240" w:lineRule="auto"/>
              <w:jc w:val="both"/>
              <w:rPr>
                <w:rFonts w:cs="Times"/>
                <w:szCs w:val="20"/>
              </w:rPr>
            </w:pPr>
            <w:r>
              <w:rPr>
                <w:rFonts w:cs="Times"/>
                <w:szCs w:val="20"/>
              </w:rPr>
              <w:t>In RAN1#104-e, on the Rel-17 L1-based TCI state update (beam indication) for the unified TCI framework, interested companies are to provide the following:</w:t>
            </w:r>
          </w:p>
          <w:p>
            <w:pPr>
              <w:pStyle w:val="111"/>
              <w:numPr>
                <w:ilvl w:val="0"/>
                <w:numId w:val="12"/>
              </w:numPr>
              <w:snapToGrid w:val="0"/>
              <w:spacing w:after="0" w:line="240" w:lineRule="auto"/>
              <w:ind w:firstLineChars="0"/>
              <w:contextualSpacing/>
              <w:jc w:val="both"/>
              <w:rPr>
                <w:rFonts w:cs="Times"/>
                <w:szCs w:val="20"/>
              </w:rPr>
            </w:pPr>
            <w:r>
              <w:rPr>
                <w:rFonts w:cs="Times"/>
                <w:szCs w:val="20"/>
              </w:rPr>
              <w:t xml:space="preserve">How to use DCI formats 1_1 and 1_2 for UL-only (in case of separate DL/UL) TCI state update (beam indication) </w:t>
            </w:r>
          </w:p>
          <w:p>
            <w:pPr>
              <w:pStyle w:val="111"/>
              <w:numPr>
                <w:ilvl w:val="1"/>
                <w:numId w:val="12"/>
              </w:numPr>
              <w:snapToGrid w:val="0"/>
              <w:spacing w:after="0" w:line="240" w:lineRule="auto"/>
              <w:ind w:firstLineChars="0"/>
              <w:contextualSpacing/>
              <w:jc w:val="both"/>
              <w:rPr>
                <w:rFonts w:cs="Times"/>
                <w:szCs w:val="20"/>
              </w:rPr>
            </w:pPr>
            <w:r>
              <w:rPr>
                <w:rFonts w:cs="Times"/>
                <w:szCs w:val="20"/>
              </w:rPr>
              <w:t xml:space="preserve">Note: The agreement implies that DCI formats 1_1 and 1_2 can be used for UL-only TCI state update beam indication). </w:t>
            </w:r>
          </w:p>
          <w:p>
            <w:pPr>
              <w:pStyle w:val="111"/>
              <w:numPr>
                <w:ilvl w:val="1"/>
                <w:numId w:val="12"/>
              </w:numPr>
              <w:snapToGrid w:val="0"/>
              <w:spacing w:before="120" w:after="120" w:afterLines="50" w:line="240" w:lineRule="auto"/>
              <w:ind w:firstLine="0" w:firstLineChars="0"/>
              <w:contextualSpacing/>
              <w:jc w:val="both"/>
              <w:rPr>
                <w:rFonts w:cs="Times" w:eastAsiaTheme="minorEastAsia"/>
                <w:szCs w:val="20"/>
              </w:rPr>
            </w:pPr>
            <w:r>
              <w:rPr>
                <w:rFonts w:cs="Times"/>
                <w:szCs w:val="20"/>
                <w:highlight w:val="yellow"/>
              </w:rPr>
              <w:t>FFS: Using DCI format 1_1 and 1_2 without DL assignment, and with a new acknowledgment mechanism directly in response to decoding DCI format 1_1 and 1_2, e.g., analogous to SPS PDSCH release</w:t>
            </w:r>
          </w:p>
        </w:tc>
      </w:tr>
    </w:tbl>
    <w:p>
      <w:pPr>
        <w:pStyle w:val="109"/>
        <w:snapToGrid w:val="0"/>
        <w:spacing w:before="120" w:after="120" w:afterLines="50" w:line="300" w:lineRule="auto"/>
        <w:ind w:firstLine="0" w:firstLineChars="0"/>
        <w:jc w:val="both"/>
        <w:rPr>
          <w:rFonts w:eastAsia="宋体"/>
        </w:rPr>
      </w:pPr>
      <w:r>
        <w:rPr>
          <w:rFonts w:eastAsia="宋体"/>
        </w:rPr>
        <w:t>But, the following drawbacks for this ACK mechanism can be identified.</w:t>
      </w:r>
    </w:p>
    <w:p>
      <w:pPr>
        <w:pStyle w:val="109"/>
        <w:numPr>
          <w:ilvl w:val="0"/>
          <w:numId w:val="7"/>
        </w:numPr>
        <w:snapToGrid w:val="0"/>
        <w:spacing w:before="120" w:after="120" w:afterLines="50" w:line="300" w:lineRule="auto"/>
        <w:ind w:firstLineChars="0"/>
        <w:jc w:val="both"/>
        <w:rPr>
          <w:rFonts w:eastAsiaTheme="minorEastAsia"/>
        </w:rPr>
      </w:pPr>
      <w:r>
        <w:rPr>
          <w:rFonts w:eastAsia="宋体"/>
        </w:rPr>
        <w:t xml:space="preserve">Firstly, ‘NACK’ information is ambiguous for determining whether the DCI is received successfully from the perspective of gNB side. Receiving ‘NACK’ information only means that the PDSCH is not decoded successfully, but it may be caused due to two different reasons: #1 DCI is received successfully but PDSCH is not, #2 Neither of them is received successfully. For the former, the indicated TCI state still can be applied, but for the latter, the indicated TCI state can NOT be applied. </w:t>
      </w:r>
    </w:p>
    <w:p>
      <w:pPr>
        <w:pStyle w:val="109"/>
        <w:numPr>
          <w:ilvl w:val="1"/>
          <w:numId w:val="7"/>
        </w:numPr>
        <w:snapToGrid w:val="0"/>
        <w:spacing w:before="120" w:after="120" w:afterLines="50" w:line="300" w:lineRule="auto"/>
        <w:ind w:firstLineChars="0"/>
        <w:jc w:val="both"/>
        <w:rPr>
          <w:rFonts w:eastAsiaTheme="minorEastAsia"/>
        </w:rPr>
      </w:pPr>
      <w:r>
        <w:rPr>
          <w:rFonts w:eastAsia="宋体"/>
        </w:rPr>
        <w:t>Furthermore, if receiving NACK is always</w:t>
      </w:r>
      <w:r>
        <w:rPr>
          <w:rFonts w:hint="eastAsia" w:eastAsia="宋体"/>
        </w:rPr>
        <w:t xml:space="preserve"> </w:t>
      </w:r>
      <w:r>
        <w:rPr>
          <w:rFonts w:eastAsia="宋体"/>
        </w:rPr>
        <w:t>assume</w:t>
      </w:r>
      <w:r>
        <w:rPr>
          <w:rFonts w:hint="eastAsia" w:eastAsia="宋体"/>
        </w:rPr>
        <w:t>d</w:t>
      </w:r>
      <w:r>
        <w:rPr>
          <w:rFonts w:eastAsia="宋体"/>
        </w:rPr>
        <w:t xml:space="preserve"> that the TCI state is NOT applied considering the worst case (i.e., above #2), the detection performance and latency of DCI based TCI state indication are still aligned with that of MAC-CE based TCI state indication as in Rel-15 and Rel-16. Introducing DCI based TCI state indication becomes meaningless. </w:t>
      </w:r>
    </w:p>
    <w:p>
      <w:pPr>
        <w:pStyle w:val="109"/>
        <w:numPr>
          <w:ilvl w:val="0"/>
          <w:numId w:val="7"/>
        </w:numPr>
        <w:snapToGrid w:val="0"/>
        <w:spacing w:before="120" w:after="120" w:afterLines="50" w:line="300" w:lineRule="auto"/>
        <w:ind w:firstLineChars="0"/>
        <w:jc w:val="both"/>
        <w:rPr>
          <w:rFonts w:eastAsiaTheme="minorEastAsia"/>
        </w:rPr>
      </w:pPr>
      <w:r>
        <w:rPr>
          <w:rFonts w:eastAsiaTheme="minorEastAsia"/>
        </w:rPr>
        <w:t xml:space="preserve">Secondly, gNB should always schedule an additional PDSCH when using DCI format 1_1 and 1_2 for separate UL TCI state indication. It does NOT make sense. </w:t>
      </w:r>
    </w:p>
    <w:p>
      <w:pPr>
        <w:pStyle w:val="109"/>
        <w:snapToGrid w:val="0"/>
        <w:spacing w:before="120" w:after="120" w:afterLines="50" w:line="300" w:lineRule="auto"/>
        <w:ind w:firstLine="0" w:firstLineChars="0"/>
        <w:jc w:val="both"/>
        <w:rPr>
          <w:rFonts w:eastAsiaTheme="minorEastAsia"/>
        </w:rPr>
      </w:pPr>
      <w:r>
        <w:rPr>
          <w:rFonts w:hint="eastAsia" w:eastAsiaTheme="minorEastAsia"/>
        </w:rPr>
        <w:t>T</w:t>
      </w:r>
      <w:r>
        <w:rPr>
          <w:rFonts w:eastAsiaTheme="minorEastAsia"/>
        </w:rPr>
        <w:t xml:space="preserve">herefore, in order to </w:t>
      </w:r>
      <w:r>
        <w:rPr>
          <w:rFonts w:hint="eastAsia" w:eastAsiaTheme="minorEastAsia"/>
        </w:rPr>
        <w:t xml:space="preserve">address </w:t>
      </w:r>
      <w:r>
        <w:rPr>
          <w:rFonts w:eastAsiaTheme="minorEastAsia"/>
        </w:rPr>
        <w:t xml:space="preserve">the above issues, the independent ACK mechanism directly in response to DCI format 1_1 and 1_2 without scheduling PDSCH should be introduced. As a result, </w:t>
      </w:r>
      <w:r>
        <w:rPr>
          <w:rFonts w:eastAsia="宋体"/>
        </w:rPr>
        <w:t>‘ACK/NACK’ information is only based on DCI decoding, and no additional scheduling PDSCH is needed.</w:t>
      </w:r>
    </w:p>
    <w:p>
      <w:pPr>
        <w:pStyle w:val="109"/>
        <w:numPr>
          <w:ilvl w:val="0"/>
          <w:numId w:val="7"/>
        </w:numPr>
        <w:snapToGrid w:val="0"/>
        <w:spacing w:before="120" w:after="120" w:afterLines="50" w:line="300" w:lineRule="auto"/>
        <w:ind w:firstLineChars="0"/>
        <w:jc w:val="both"/>
        <w:rPr>
          <w:rFonts w:eastAsiaTheme="minorEastAsia"/>
        </w:rPr>
      </w:pPr>
      <w:r>
        <w:rPr>
          <w:rFonts w:eastAsiaTheme="minorEastAsia"/>
        </w:rPr>
        <w:t xml:space="preserve">It should be noticed that this mechanism has been widely used for </w:t>
      </w:r>
      <w:r>
        <w:rPr>
          <w:rFonts w:hint="eastAsia"/>
        </w:rPr>
        <w:t>SPS PDSCH release</w:t>
      </w:r>
      <w:r>
        <w:t xml:space="preserve"> in NR and LTE. In such case, a DCI command scrambled by CS-RNTI and with the specific values for some DCI fields (including HARQ process number, RV, MCS and FDRA) is to release SPS PDSCH without PDSCH transmission, and meanwhile an ACK/NACK information corresponding to the DCI command can be reported accordingly. </w:t>
      </w:r>
    </w:p>
    <w:p>
      <w:pPr>
        <w:pStyle w:val="109"/>
        <w:numPr>
          <w:ilvl w:val="0"/>
          <w:numId w:val="7"/>
        </w:numPr>
        <w:snapToGrid w:val="0"/>
        <w:spacing w:before="120" w:after="120" w:afterLines="50" w:line="300" w:lineRule="auto"/>
        <w:ind w:firstLineChars="0"/>
        <w:jc w:val="both"/>
        <w:rPr>
          <w:rFonts w:eastAsiaTheme="minorEastAsia"/>
        </w:rPr>
      </w:pPr>
      <w:r>
        <w:t>For sake of presentation, one example for special fields for SPS PDSCH release is shown in Table 1 that is copied from TS 38.213.</w:t>
      </w:r>
    </w:p>
    <w:p>
      <w:pPr>
        <w:snapToGrid w:val="0"/>
        <w:spacing w:before="120" w:after="120" w:afterLines="50"/>
        <w:jc w:val="center"/>
        <w:rPr>
          <w:rFonts w:eastAsiaTheme="minorEastAsia"/>
          <w:szCs w:val="20"/>
        </w:rPr>
      </w:pPr>
      <w:r>
        <w:rPr>
          <w:rFonts w:eastAsia="微软雅黑"/>
          <w:b/>
          <w:szCs w:val="20"/>
          <w:lang w:val="en-GB"/>
        </w:rPr>
        <w:t>Table 1</w:t>
      </w:r>
      <w:r>
        <w:rPr>
          <w:rFonts w:hint="eastAsia" w:eastAsia="微软雅黑"/>
          <w:szCs w:val="20"/>
          <w:lang w:val="en-GB"/>
        </w:rPr>
        <w:tab/>
      </w:r>
      <w:r>
        <w:rPr>
          <w:rFonts w:eastAsia="微软雅黑"/>
          <w:szCs w:val="20"/>
          <w:lang w:val="en-GB"/>
        </w:rPr>
        <w:t>Special fields for single DL SPS or single UL grant Type 2 scheduling release PDCCH validation (copied from TS 38.213 V16.4.0)</w:t>
      </w:r>
    </w:p>
    <w:tbl>
      <w:tblPr>
        <w:tblStyle w:val="1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615"/>
        <w:gridCol w:w="248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rPr>
                <w:rFonts w:ascii="Times New Roman" w:hAnsi="Times New Roman" w:eastAsia="宋体"/>
                <w:szCs w:val="18"/>
              </w:rPr>
            </w:pPr>
          </w:p>
        </w:tc>
        <w:tc>
          <w:tcPr>
            <w:tcW w:w="2483" w:type="dxa"/>
            <w:tcBorders>
              <w:top w:val="single" w:color="auto" w:sz="4" w:space="0"/>
              <w:left w:val="nil"/>
              <w:bottom w:val="single" w:color="auto" w:sz="4" w:space="0"/>
              <w:right w:val="single" w:color="auto" w:sz="4" w:space="0"/>
            </w:tcBorders>
            <w:shd w:val="clear" w:color="auto" w:fill="E0E0E0"/>
            <w:vAlign w:val="center"/>
          </w:tcPr>
          <w:p>
            <w:pPr>
              <w:pStyle w:val="63"/>
              <w:rPr>
                <w:rFonts w:ascii="Times New Roman" w:hAnsi="Times New Roman"/>
              </w:rPr>
            </w:pPr>
            <w:r>
              <w:rPr>
                <w:rFonts w:ascii="Times New Roman" w:hAnsi="Times New Roman"/>
              </w:rPr>
              <w:t>DCI format 0_0/0_1/0_2</w:t>
            </w:r>
          </w:p>
        </w:tc>
        <w:tc>
          <w:tcPr>
            <w:tcW w:w="2410" w:type="dxa"/>
            <w:tcBorders>
              <w:top w:val="single" w:color="auto" w:sz="4" w:space="0"/>
              <w:left w:val="nil"/>
              <w:bottom w:val="single" w:color="auto" w:sz="4" w:space="0"/>
              <w:right w:val="single" w:color="auto" w:sz="4" w:space="0"/>
            </w:tcBorders>
            <w:shd w:val="clear" w:color="auto" w:fill="E0E0E0"/>
            <w:vAlign w:val="center"/>
          </w:tcPr>
          <w:p>
            <w:pPr>
              <w:pStyle w:val="63"/>
              <w:rPr>
                <w:rFonts w:ascii="Times New Roman" w:hAnsi="Times New Roman"/>
              </w:rPr>
            </w:pPr>
            <w:r>
              <w:rPr>
                <w:rFonts w:ascii="Times New Roman" w:hAnsi="Times New Roman"/>
              </w:rPr>
              <w:t>DCI format 1_0/1_1/1_2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pStyle w:val="40"/>
              <w:rPr>
                <w:rFonts w:ascii="Times New Roman" w:hAnsi="Times New Roman"/>
              </w:rPr>
            </w:pPr>
            <w:r>
              <w:rPr>
                <w:rFonts w:ascii="Times New Roman" w:hAnsi="Times New Roman"/>
              </w:rPr>
              <w:t>HARQ process number</w:t>
            </w:r>
          </w:p>
        </w:tc>
        <w:tc>
          <w:tcPr>
            <w:tcW w:w="2483"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'0's</w:t>
            </w:r>
          </w:p>
        </w:tc>
        <w:tc>
          <w:tcPr>
            <w:tcW w:w="2410"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pStyle w:val="40"/>
              <w:rPr>
                <w:rFonts w:ascii="Times New Roman" w:hAnsi="Times New Roman"/>
              </w:rPr>
            </w:pPr>
            <w:r>
              <w:rPr>
                <w:rFonts w:ascii="Times New Roman" w:hAnsi="Times New Roman"/>
              </w:rPr>
              <w:t>Redundancy version</w:t>
            </w:r>
          </w:p>
        </w:tc>
        <w:tc>
          <w:tcPr>
            <w:tcW w:w="2483"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'0's</w:t>
            </w:r>
          </w:p>
        </w:tc>
        <w:tc>
          <w:tcPr>
            <w:tcW w:w="2410"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pStyle w:val="40"/>
              <w:rPr>
                <w:rFonts w:ascii="Times New Roman" w:hAnsi="Times New Roman"/>
              </w:rPr>
            </w:pPr>
            <w:r>
              <w:rPr>
                <w:rFonts w:ascii="Times New Roman" w:hAnsi="Times New Roman"/>
              </w:rPr>
              <w:t>Modulation and coding scheme</w:t>
            </w:r>
          </w:p>
        </w:tc>
        <w:tc>
          <w:tcPr>
            <w:tcW w:w="2483"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'1's</w:t>
            </w:r>
          </w:p>
        </w:tc>
        <w:tc>
          <w:tcPr>
            <w:tcW w:w="2410"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set to all '1's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2615" w:type="dxa"/>
            <w:tcBorders>
              <w:top w:val="single" w:color="auto" w:sz="4" w:space="0"/>
              <w:left w:val="single" w:color="auto" w:sz="4" w:space="0"/>
              <w:bottom w:val="single" w:color="auto" w:sz="4" w:space="0"/>
              <w:right w:val="single" w:color="auto" w:sz="4" w:space="0"/>
            </w:tcBorders>
            <w:vAlign w:val="center"/>
          </w:tcPr>
          <w:p>
            <w:pPr>
              <w:pStyle w:val="40"/>
              <w:rPr>
                <w:rFonts w:ascii="Times New Roman" w:hAnsi="Times New Roman"/>
              </w:rPr>
            </w:pPr>
            <w:r>
              <w:rPr>
                <w:rFonts w:ascii="Times New Roman" w:hAnsi="Times New Roman"/>
              </w:rPr>
              <w:t>Frequency domain resource assignment</w:t>
            </w:r>
          </w:p>
        </w:tc>
        <w:tc>
          <w:tcPr>
            <w:tcW w:w="2483" w:type="dxa"/>
            <w:tcBorders>
              <w:top w:val="single" w:color="auto" w:sz="4" w:space="0"/>
              <w:left w:val="nil"/>
              <w:bottom w:val="single" w:color="auto" w:sz="4" w:space="0"/>
              <w:right w:val="single" w:color="auto" w:sz="4" w:space="0"/>
            </w:tcBorders>
            <w:vAlign w:val="center"/>
          </w:tcPr>
          <w:p>
            <w:pPr>
              <w:pStyle w:val="114"/>
              <w:widowControl w:val="0"/>
              <w:spacing w:before="0" w:beforeAutospacing="0" w:after="120"/>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 xml:space="preserve">set to all '0's for FDRA Type 2 with </w:t>
            </w:r>
            <w:r>
              <w:rPr>
                <w:rFonts w:eastAsia="Times New Roman"/>
              </w:rPr>
              <w:drawing>
                <wp:inline distT="0" distB="0" distL="0" distR="0">
                  <wp:extent cx="296545" cy="128905"/>
                  <wp:effectExtent l="0" t="0" r="825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1"/>
                          <a:stretch>
                            <a:fillRect/>
                          </a:stretch>
                        </pic:blipFill>
                        <pic:spPr>
                          <a:xfrm>
                            <a:off x="0" y="0"/>
                            <a:ext cx="322841" cy="140876"/>
                          </a:xfrm>
                          <a:prstGeom prst="rect">
                            <a:avLst/>
                          </a:prstGeom>
                        </pic:spPr>
                      </pic:pic>
                    </a:graphicData>
                  </a:graphic>
                </wp:inline>
              </w:drawing>
            </w:r>
          </w:p>
          <w:p>
            <w:pPr>
              <w:pStyle w:val="40"/>
              <w:rPr>
                <w:rFonts w:ascii="Times New Roman" w:hAnsi="Times New Roman"/>
                <w:szCs w:val="18"/>
              </w:rPr>
            </w:pPr>
            <w:r>
              <w:rPr>
                <w:rFonts w:ascii="Times New Roman" w:hAnsi="Times New Roman"/>
              </w:rPr>
              <w:t>set to all '1's, otherwise</w:t>
            </w:r>
          </w:p>
        </w:tc>
        <w:tc>
          <w:tcPr>
            <w:tcW w:w="2410" w:type="dxa"/>
            <w:tcBorders>
              <w:top w:val="single" w:color="auto" w:sz="4" w:space="0"/>
              <w:left w:val="nil"/>
              <w:bottom w:val="single" w:color="auto" w:sz="4" w:space="0"/>
              <w:right w:val="single" w:color="auto" w:sz="4" w:space="0"/>
            </w:tcBorders>
            <w:vAlign w:val="center"/>
          </w:tcPr>
          <w:p>
            <w:pPr>
              <w:pStyle w:val="40"/>
              <w:rPr>
                <w:rFonts w:ascii="Times New Roman" w:hAnsi="Times New Roman"/>
              </w:rPr>
            </w:pPr>
            <w:r>
              <w:rPr>
                <w:rFonts w:ascii="Times New Roman" w:hAnsi="Times New Roman"/>
              </w:rPr>
              <w:t xml:space="preserve">set to all '0's for FDRA Type 0 or for </w:t>
            </w:r>
            <w:r>
              <w:rPr>
                <w:rFonts w:ascii="Times New Roman" w:hAnsi="Times New Roman"/>
                <w:i/>
                <w:iCs/>
              </w:rPr>
              <w:t>dynamicSwitch</w:t>
            </w:r>
          </w:p>
          <w:p>
            <w:pPr>
              <w:pStyle w:val="40"/>
              <w:rPr>
                <w:rFonts w:ascii="Times New Roman" w:hAnsi="Times New Roman"/>
              </w:rPr>
            </w:pPr>
          </w:p>
          <w:p>
            <w:pPr>
              <w:pStyle w:val="40"/>
              <w:rPr>
                <w:rFonts w:ascii="Times New Roman" w:hAnsi="Times New Roman"/>
              </w:rPr>
            </w:pPr>
            <w:r>
              <w:rPr>
                <w:rFonts w:ascii="Times New Roman" w:hAnsi="Times New Roman"/>
              </w:rPr>
              <w:t>set to all '1's for FDRA Type 1</w:t>
            </w:r>
          </w:p>
        </w:tc>
      </w:tr>
    </w:tbl>
    <w:p>
      <w:pPr>
        <w:pStyle w:val="109"/>
        <w:snapToGrid w:val="0"/>
        <w:spacing w:before="120" w:after="120" w:afterLines="50" w:line="300" w:lineRule="auto"/>
        <w:ind w:firstLine="0" w:firstLineChars="0"/>
        <w:jc w:val="both"/>
        <w:rPr>
          <w:i/>
          <w:iCs/>
        </w:rPr>
      </w:pPr>
      <w:r>
        <w:rPr>
          <w:rFonts w:hint="eastAsia" w:eastAsia="微软雅黑"/>
          <w:b/>
          <w:bCs/>
          <w:i/>
          <w:iCs/>
          <w:szCs w:val="20"/>
        </w:rPr>
        <w:t>Proposal 7:</w:t>
      </w:r>
      <w:r>
        <w:rPr>
          <w:rFonts w:hint="eastAsia" w:eastAsia="微软雅黑"/>
          <w:i/>
          <w:iCs/>
          <w:szCs w:val="20"/>
        </w:rPr>
        <w:t xml:space="preserve"> Regarding </w:t>
      </w:r>
      <w:r>
        <w:rPr>
          <w:rFonts w:eastAsia="微软雅黑"/>
          <w:i/>
          <w:iCs/>
          <w:szCs w:val="20"/>
        </w:rPr>
        <w:t>ACK</w:t>
      </w:r>
      <w:r>
        <w:rPr>
          <w:rFonts w:hint="eastAsia" w:eastAsia="微软雅黑"/>
          <w:i/>
          <w:iCs/>
          <w:szCs w:val="20"/>
        </w:rPr>
        <w:t xml:space="preserve"> mechanism for the DCI format indicating the common TCI state,</w:t>
      </w:r>
      <w:r>
        <w:rPr>
          <w:rFonts w:eastAsia="宋体"/>
          <w:i/>
          <w:iCs/>
        </w:rPr>
        <w:t xml:space="preserve"> a</w:t>
      </w:r>
      <w:r>
        <w:rPr>
          <w:i/>
          <w:iCs/>
        </w:rPr>
        <w:t xml:space="preserve"> new ACK mechanism directly in response to decoding DCI format 1_1 and 1_2</w:t>
      </w:r>
      <w:r>
        <w:rPr>
          <w:rFonts w:eastAsia="宋体"/>
          <w:i/>
          <w:iCs/>
        </w:rPr>
        <w:t xml:space="preserve"> </w:t>
      </w:r>
      <w:r>
        <w:rPr>
          <w:i/>
          <w:iCs/>
        </w:rPr>
        <w:t>should be supported.</w:t>
      </w:r>
    </w:p>
    <w:p>
      <w:pPr>
        <w:pStyle w:val="109"/>
        <w:numPr>
          <w:ilvl w:val="0"/>
          <w:numId w:val="7"/>
        </w:numPr>
        <w:snapToGrid w:val="0"/>
        <w:spacing w:before="120" w:after="120" w:afterLines="50" w:line="300" w:lineRule="auto"/>
        <w:ind w:firstLineChars="0"/>
        <w:jc w:val="both"/>
      </w:pPr>
      <w:r>
        <w:rPr>
          <w:rFonts w:eastAsia="宋体"/>
          <w:i/>
          <w:iCs/>
        </w:rPr>
        <w:t>ACK mechanism corresponding SPS PDSCH release</w:t>
      </w:r>
      <w:r>
        <w:rPr>
          <w:rFonts w:hint="eastAsia" w:eastAsia="宋体"/>
          <w:i/>
          <w:iCs/>
        </w:rPr>
        <w:t xml:space="preserve"> </w:t>
      </w:r>
      <w:r>
        <w:rPr>
          <w:rFonts w:eastAsia="宋体"/>
          <w:i/>
          <w:iCs/>
        </w:rPr>
        <w:t>can be considered as a starting point.</w:t>
      </w:r>
    </w:p>
    <w:p>
      <w:pPr>
        <w:pStyle w:val="109"/>
        <w:snapToGrid w:val="0"/>
        <w:spacing w:before="120" w:after="120" w:afterLines="50" w:line="300" w:lineRule="auto"/>
        <w:ind w:firstLine="0" w:firstLineChars="0"/>
        <w:jc w:val="both"/>
        <w:rPr>
          <w:rFonts w:eastAsia="宋体"/>
        </w:rPr>
      </w:pPr>
      <w:r>
        <w:rPr>
          <w:rFonts w:hint="eastAsia" w:eastAsia="宋体"/>
        </w:rPr>
        <w:t xml:space="preserve">Similarly, for DCI format 0_1 and 0_2, </w:t>
      </w:r>
      <w:r>
        <w:rPr>
          <w:rFonts w:hint="eastAsia"/>
        </w:rPr>
        <w:t>a new acknowledgment</w:t>
      </w:r>
      <w:r>
        <w:t xml:space="preserve"> </w:t>
      </w:r>
      <w:r>
        <w:rPr>
          <w:rFonts w:hint="eastAsia"/>
        </w:rPr>
        <w:t xml:space="preserve">(ACK) mechanism directly in response to decoding DCI format </w:t>
      </w:r>
      <w:r>
        <w:rPr>
          <w:rFonts w:hint="eastAsia" w:eastAsia="宋体"/>
        </w:rPr>
        <w:t>0</w:t>
      </w:r>
      <w:r>
        <w:rPr>
          <w:rFonts w:hint="eastAsia"/>
        </w:rPr>
        <w:t xml:space="preserve">_1 and </w:t>
      </w:r>
      <w:r>
        <w:rPr>
          <w:rFonts w:hint="eastAsia" w:eastAsia="宋体"/>
        </w:rPr>
        <w:t>0</w:t>
      </w:r>
      <w:r>
        <w:rPr>
          <w:rFonts w:hint="eastAsia"/>
        </w:rPr>
        <w:t>_2</w:t>
      </w:r>
      <w:r>
        <w:rPr>
          <w:rFonts w:hint="eastAsia" w:eastAsia="宋体"/>
        </w:rPr>
        <w:t xml:space="preserve"> can also be introduced which has not much different from that for </w:t>
      </w:r>
      <w:r>
        <w:rPr>
          <w:rFonts w:hint="eastAsia"/>
        </w:rPr>
        <w:t>DCI format 1_1 and 1_2</w:t>
      </w:r>
      <w:r>
        <w:t xml:space="preserve">. For instance, the </w:t>
      </w:r>
      <w:r>
        <w:rPr>
          <w:rFonts w:hint="eastAsia" w:eastAsia="宋体"/>
        </w:rPr>
        <w:t xml:space="preserve">PUSCH transmission </w:t>
      </w:r>
      <w:r>
        <w:rPr>
          <w:rFonts w:eastAsia="宋体"/>
        </w:rPr>
        <w:t xml:space="preserve">scheduled by the DCI format 0_1 and 0_2 </w:t>
      </w:r>
      <w:r>
        <w:rPr>
          <w:rFonts w:hint="eastAsia" w:eastAsia="宋体"/>
        </w:rPr>
        <w:t xml:space="preserve">can be used </w:t>
      </w:r>
      <w:r>
        <w:rPr>
          <w:rFonts w:eastAsia="宋体"/>
        </w:rPr>
        <w:t>for carrying the</w:t>
      </w:r>
      <w:r>
        <w:rPr>
          <w:rFonts w:hint="eastAsia" w:eastAsia="宋体"/>
        </w:rPr>
        <w:t xml:space="preserve"> ACK for the DCI.</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Application time of TCI state indication:</w:t>
      </w:r>
    </w:p>
    <w:p>
      <w:pPr>
        <w:pStyle w:val="109"/>
        <w:snapToGrid w:val="0"/>
        <w:spacing w:before="120" w:after="120" w:afterLines="50" w:line="300" w:lineRule="auto"/>
        <w:ind w:firstLine="0" w:firstLineChars="0"/>
        <w:jc w:val="both"/>
      </w:pPr>
      <w:r>
        <w:rPr>
          <w:rFonts w:hint="eastAsia" w:eastAsia="宋体"/>
        </w:rPr>
        <w:t>I</w:t>
      </w:r>
      <w:r>
        <w:rPr>
          <w:rFonts w:eastAsia="宋体"/>
        </w:rPr>
        <w:t xml:space="preserve">n RAN1#103-e, the </w:t>
      </w:r>
      <w:r>
        <w:t>applicable timing of TCI state indication has been discussed, and the following agreement has been reached.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bCs/>
                <w:szCs w:val="20"/>
              </w:rPr>
            </w:pPr>
            <w:r>
              <w:rPr>
                <w:bCs/>
                <w:szCs w:val="20"/>
              </w:rPr>
              <w:t xml:space="preserve">On Rel.17 DCI-based beam indication: </w:t>
            </w:r>
          </w:p>
          <w:p>
            <w:pPr>
              <w:numPr>
                <w:ilvl w:val="0"/>
                <w:numId w:val="14"/>
              </w:numPr>
              <w:snapToGrid w:val="0"/>
              <w:spacing w:after="0" w:line="240" w:lineRule="auto"/>
              <w:jc w:val="both"/>
              <w:rPr>
                <w:szCs w:val="20"/>
              </w:rPr>
            </w:pPr>
            <w:r>
              <w:rPr>
                <w:szCs w:val="20"/>
              </w:rPr>
              <w:t>Regarding application time of the beam indication: if beam indication is received, down-select from the following:</w:t>
            </w:r>
          </w:p>
          <w:p>
            <w:pPr>
              <w:numPr>
                <w:ilvl w:val="1"/>
                <w:numId w:val="14"/>
              </w:numPr>
              <w:snapToGrid w:val="0"/>
              <w:spacing w:after="0" w:line="240" w:lineRule="auto"/>
              <w:jc w:val="both"/>
              <w:rPr>
                <w:szCs w:val="20"/>
              </w:rPr>
            </w:pPr>
            <w:r>
              <w:rPr>
                <w:szCs w:val="20"/>
              </w:rPr>
              <w:t>Alt1: the first slot that is at least X ms or Y symbols after the DCI with the joint or separate DL/UL beam indication</w:t>
            </w:r>
          </w:p>
          <w:p>
            <w:pPr>
              <w:numPr>
                <w:ilvl w:val="1"/>
                <w:numId w:val="14"/>
              </w:numPr>
              <w:snapToGrid w:val="0"/>
              <w:spacing w:after="0" w:line="240" w:lineRule="auto"/>
              <w:jc w:val="both"/>
              <w:rPr>
                <w:szCs w:val="20"/>
              </w:rPr>
            </w:pPr>
            <w:r>
              <w:rPr>
                <w:szCs w:val="20"/>
              </w:rPr>
              <w:t xml:space="preserve">Alt2: the first slot that is at least X ms or Y symbols after the acknowledgment of the joint or separate DL/UL beam indication </w:t>
            </w:r>
          </w:p>
          <w:p>
            <w:pPr>
              <w:numPr>
                <w:ilvl w:val="1"/>
                <w:numId w:val="14"/>
              </w:numPr>
              <w:snapToGrid w:val="0"/>
              <w:spacing w:after="0" w:line="240" w:lineRule="auto"/>
              <w:jc w:val="both"/>
              <w:rPr>
                <w:sz w:val="22"/>
                <w:szCs w:val="20"/>
              </w:rPr>
            </w:pPr>
            <w:r>
              <w:rPr>
                <w:szCs w:val="18"/>
              </w:rPr>
              <w:t>FFS: whether any existing timing defined for DCI based TCI/spatial relation update can be used for X/Y</w:t>
            </w:r>
          </w:p>
          <w:p>
            <w:pPr>
              <w:numPr>
                <w:ilvl w:val="0"/>
                <w:numId w:val="14"/>
              </w:numPr>
              <w:snapToGrid w:val="0"/>
              <w:spacing w:after="0" w:line="240" w:lineRule="auto"/>
              <w:jc w:val="both"/>
              <w:rPr>
                <w:sz w:val="18"/>
                <w:szCs w:val="20"/>
              </w:rPr>
            </w:pPr>
            <w:r>
              <w:rPr>
                <w:bCs/>
              </w:rPr>
              <w:t xml:space="preserve">FFS: </w:t>
            </w:r>
            <w:r>
              <w:t>When to apply the minimum indication delay (e.g., when the newly indicated beam is different with the previously indicated beam)</w:t>
            </w:r>
          </w:p>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bCs/>
                <w:szCs w:val="20"/>
              </w:rPr>
            </w:pPr>
            <w:r>
              <w:rPr>
                <w:bCs/>
                <w:szCs w:val="20"/>
              </w:rPr>
              <w:t xml:space="preserve">On Rel.17 DCI-based beam indication, </w:t>
            </w:r>
            <w:r>
              <w:rPr>
                <w:szCs w:val="18"/>
              </w:rPr>
              <w:t>the beam application time is to be down-selected or modified from the following:</w:t>
            </w:r>
          </w:p>
          <w:p>
            <w:pPr>
              <w:pStyle w:val="111"/>
              <w:numPr>
                <w:ilvl w:val="0"/>
                <w:numId w:val="14"/>
              </w:numPr>
              <w:snapToGrid w:val="0"/>
              <w:spacing w:after="0" w:line="240" w:lineRule="auto"/>
              <w:ind w:firstLineChars="0"/>
              <w:jc w:val="both"/>
              <w:rPr>
                <w:szCs w:val="18"/>
              </w:rPr>
            </w:pPr>
            <w:r>
              <w:rPr>
                <w:szCs w:val="18"/>
              </w:rPr>
              <w:t>Alt1: The beam application time can be configured by the gNB based on UE capability</w:t>
            </w:r>
          </w:p>
          <w:p>
            <w:pPr>
              <w:pStyle w:val="111"/>
              <w:numPr>
                <w:ilvl w:val="1"/>
                <w:numId w:val="14"/>
              </w:numPr>
              <w:snapToGrid w:val="0"/>
              <w:spacing w:after="0" w:line="240" w:lineRule="auto"/>
              <w:ind w:firstLineChars="0"/>
              <w:jc w:val="both"/>
              <w:rPr>
                <w:szCs w:val="18"/>
              </w:rPr>
            </w:pPr>
            <w:r>
              <w:rPr>
                <w:szCs w:val="18"/>
              </w:rPr>
              <w:t>Support a UE capability for the minimum value of beam application time</w:t>
            </w:r>
          </w:p>
          <w:p>
            <w:pPr>
              <w:pStyle w:val="111"/>
              <w:numPr>
                <w:ilvl w:val="1"/>
                <w:numId w:val="14"/>
              </w:numPr>
              <w:snapToGrid w:val="0"/>
              <w:spacing w:after="0" w:line="240" w:lineRule="auto"/>
              <w:ind w:firstLineChars="0"/>
              <w:jc w:val="both"/>
              <w:rPr>
                <w:szCs w:val="18"/>
              </w:rPr>
            </w:pPr>
            <w:r>
              <w:rPr>
                <w:szCs w:val="18"/>
              </w:rPr>
              <w:t xml:space="preserve">FFS: the exact minimum values of beam application time supported by UE </w:t>
            </w:r>
          </w:p>
          <w:p>
            <w:pPr>
              <w:pStyle w:val="111"/>
              <w:numPr>
                <w:ilvl w:val="1"/>
                <w:numId w:val="14"/>
              </w:numPr>
              <w:snapToGrid w:val="0"/>
              <w:spacing w:after="0" w:line="240" w:lineRule="auto"/>
              <w:ind w:firstLineChars="0"/>
              <w:jc w:val="both"/>
              <w:rPr>
                <w:szCs w:val="18"/>
              </w:rPr>
            </w:pPr>
            <w:r>
              <w:rPr>
                <w:szCs w:val="18"/>
              </w:rPr>
              <w:t>FFS: whether existing UE capability can be reused as this UE capability.</w:t>
            </w:r>
          </w:p>
          <w:p>
            <w:pPr>
              <w:pStyle w:val="111"/>
              <w:numPr>
                <w:ilvl w:val="1"/>
                <w:numId w:val="14"/>
              </w:numPr>
              <w:snapToGrid w:val="0"/>
              <w:spacing w:after="0" w:line="240" w:lineRule="auto"/>
              <w:ind w:firstLineChars="0"/>
              <w:jc w:val="both"/>
              <w:rPr>
                <w:szCs w:val="18"/>
              </w:rPr>
            </w:pPr>
            <w:r>
              <w:rPr>
                <w:szCs w:val="18"/>
              </w:rPr>
              <w:t>FFS: whether different beam application time values are supported for uplink and downlink</w:t>
            </w:r>
          </w:p>
          <w:p>
            <w:pPr>
              <w:pStyle w:val="111"/>
              <w:numPr>
                <w:ilvl w:val="1"/>
                <w:numId w:val="14"/>
              </w:numPr>
              <w:snapToGrid w:val="0"/>
              <w:spacing w:after="0" w:line="240" w:lineRule="auto"/>
              <w:ind w:firstLineChars="0"/>
              <w:jc w:val="both"/>
              <w:rPr>
                <w:szCs w:val="18"/>
              </w:rPr>
            </w:pPr>
            <w:r>
              <w:rPr>
                <w:szCs w:val="18"/>
              </w:rPr>
              <w:t>FFS: whether UE capability needs to be introduced for the maximum value of beam application time</w:t>
            </w:r>
          </w:p>
          <w:p>
            <w:pPr>
              <w:pStyle w:val="111"/>
              <w:numPr>
                <w:ilvl w:val="0"/>
                <w:numId w:val="14"/>
              </w:numPr>
              <w:snapToGrid w:val="0"/>
              <w:spacing w:after="0" w:line="240" w:lineRule="auto"/>
              <w:ind w:firstLineChars="0"/>
              <w:jc w:val="both"/>
              <w:rPr>
                <w:szCs w:val="18"/>
              </w:rPr>
            </w:pPr>
            <w:r>
              <w:rPr>
                <w:szCs w:val="18"/>
              </w:rPr>
              <w:t>Alt2: The beam application time is fixed and defined in specification</w:t>
            </w:r>
          </w:p>
          <w:p>
            <w:pPr>
              <w:pStyle w:val="111"/>
              <w:numPr>
                <w:ilvl w:val="0"/>
                <w:numId w:val="14"/>
              </w:numPr>
              <w:snapToGrid w:val="0"/>
              <w:spacing w:after="0" w:line="240" w:lineRule="auto"/>
              <w:ind w:firstLineChars="0"/>
              <w:jc w:val="both"/>
              <w:rPr>
                <w:szCs w:val="18"/>
              </w:rPr>
            </w:pPr>
            <w:r>
              <w:rPr>
                <w:szCs w:val="18"/>
              </w:rPr>
              <w:t>Alt3: The beam application time can be configured by the gNB where the minimum value of beam application time is fixed and defined in specification</w:t>
            </w:r>
          </w:p>
          <w:p>
            <w:pPr>
              <w:pStyle w:val="111"/>
              <w:numPr>
                <w:ilvl w:val="0"/>
                <w:numId w:val="14"/>
              </w:numPr>
              <w:snapToGrid w:val="0"/>
              <w:spacing w:before="120" w:after="120" w:afterLines="50" w:line="240" w:lineRule="auto"/>
              <w:ind w:firstLine="0" w:firstLineChars="0"/>
              <w:jc w:val="both"/>
              <w:rPr>
                <w:szCs w:val="18"/>
              </w:rPr>
            </w:pPr>
            <w:r>
              <w:rPr>
                <w:szCs w:val="18"/>
              </w:rPr>
              <w:t>Consider multi-panel UE, layer 1/2 inter-cell cases, carrier aggregation aspects</w:t>
            </w:r>
          </w:p>
        </w:tc>
      </w:tr>
    </w:tbl>
    <w:p>
      <w:pPr>
        <w:pStyle w:val="109"/>
        <w:snapToGrid w:val="0"/>
        <w:spacing w:before="120" w:after="120" w:afterLines="50" w:line="300" w:lineRule="auto"/>
        <w:ind w:firstLine="0" w:firstLineChars="0"/>
        <w:jc w:val="both"/>
        <w:rPr>
          <w:rFonts w:eastAsia="宋体"/>
        </w:rPr>
      </w:pPr>
      <w:r>
        <w:t>As discussed in subsection 2.2.2, the further latency corresponding to decoding HARQ-ACK information and DCI retransmission is needed from the perspective of gNB side.</w:t>
      </w:r>
      <w:r>
        <w:rPr>
          <w:rFonts w:hint="eastAsia"/>
        </w:rPr>
        <w:t xml:space="preserve"> </w:t>
      </w:r>
      <w:r>
        <w:t xml:space="preserve">Consequently, </w:t>
      </w:r>
      <w:r>
        <w:rPr>
          <w:rFonts w:eastAsia="宋体"/>
        </w:rPr>
        <w:t>w</w:t>
      </w:r>
      <w:r>
        <w:rPr>
          <w:rFonts w:hint="eastAsia" w:eastAsia="宋体"/>
        </w:rPr>
        <w:t xml:space="preserve">e prefer </w:t>
      </w:r>
      <w:r>
        <w:rPr>
          <w:rFonts w:eastAsia="宋体"/>
        </w:rPr>
        <w:t>“</w:t>
      </w:r>
      <w:r>
        <w:rPr>
          <w:szCs w:val="20"/>
        </w:rPr>
        <w:t>Alt2: the first slot that is at least X ms or Y symbols</w:t>
      </w:r>
      <w:r>
        <w:rPr>
          <w:color w:val="FF0000"/>
          <w:szCs w:val="20"/>
        </w:rPr>
        <w:t xml:space="preserve"> </w:t>
      </w:r>
      <w:r>
        <w:rPr>
          <w:szCs w:val="20"/>
        </w:rPr>
        <w:t>after the acknowledgment of the joint or separate DL/UL beam indication</w:t>
      </w:r>
      <w:r>
        <w:rPr>
          <w:rFonts w:eastAsia="宋体"/>
        </w:rPr>
        <w:t xml:space="preserve">”. For sake of presentation, one example for the Alt2 considering ACK mechanism directly in response to DCI is shown </w:t>
      </w:r>
      <w:r>
        <w:rPr>
          <w:rFonts w:hint="eastAsia" w:eastAsia="宋体"/>
        </w:rPr>
        <w:t>in Figure 5</w:t>
      </w:r>
      <w:r>
        <w:rPr>
          <w:rFonts w:eastAsia="宋体"/>
        </w:rPr>
        <w:t>.</w:t>
      </w:r>
    </w:p>
    <w:p>
      <w:pPr>
        <w:pStyle w:val="109"/>
        <w:numPr>
          <w:ilvl w:val="0"/>
          <w:numId w:val="7"/>
        </w:numPr>
        <w:snapToGrid w:val="0"/>
        <w:spacing w:before="120" w:after="120" w:afterLines="50" w:line="300" w:lineRule="auto"/>
        <w:ind w:firstLineChars="0"/>
        <w:jc w:val="both"/>
      </w:pPr>
      <w:r>
        <w:rPr>
          <w:rFonts w:eastAsia="宋体"/>
        </w:rPr>
        <w:t>Considering the UE capability of beam switching, “</w:t>
      </w:r>
      <w:r>
        <w:rPr>
          <w:szCs w:val="18"/>
        </w:rPr>
        <w:t>Alt1: The beam application time can be configured by the gNB based on UE capability</w:t>
      </w:r>
      <w:r>
        <w:rPr>
          <w:rFonts w:eastAsia="宋体"/>
        </w:rPr>
        <w:t xml:space="preserve">” is preferred in our views. </w:t>
      </w:r>
    </w:p>
    <w:p>
      <w:pPr>
        <w:pStyle w:val="109"/>
        <w:numPr>
          <w:ilvl w:val="0"/>
          <w:numId w:val="7"/>
        </w:numPr>
        <w:snapToGrid w:val="0"/>
        <w:spacing w:before="120" w:after="120" w:afterLines="50" w:line="300" w:lineRule="auto"/>
        <w:ind w:firstLineChars="0"/>
        <w:jc w:val="both"/>
      </w:pPr>
      <w:r>
        <w:rPr>
          <w:rFonts w:hint="eastAsia" w:eastAsia="微软雅黑"/>
          <w:szCs w:val="20"/>
          <w:lang w:val="en-GB"/>
        </w:rPr>
        <w:t>Furthermore, the beam application time can</w:t>
      </w:r>
      <w:r>
        <w:rPr>
          <w:rFonts w:hint="eastAsia" w:eastAsia="微软雅黑"/>
          <w:szCs w:val="20"/>
        </w:rPr>
        <w:t xml:space="preserve"> also</w:t>
      </w:r>
      <w:r>
        <w:rPr>
          <w:rFonts w:hint="eastAsia" w:eastAsia="微软雅黑"/>
          <w:szCs w:val="20"/>
          <w:lang w:val="en-GB"/>
        </w:rPr>
        <w:t xml:space="preserve"> be</w:t>
      </w:r>
      <w:r>
        <w:rPr>
          <w:rFonts w:hint="eastAsia" w:eastAsia="微软雅黑"/>
          <w:szCs w:val="20"/>
        </w:rPr>
        <w:t xml:space="preserve"> </w:t>
      </w:r>
      <w:r>
        <w:rPr>
          <w:rFonts w:hint="eastAsia" w:eastAsia="微软雅黑"/>
          <w:szCs w:val="20"/>
          <w:lang w:val="en-GB"/>
        </w:rPr>
        <w:t xml:space="preserve">indicated by </w:t>
      </w:r>
      <w:r>
        <w:rPr>
          <w:rFonts w:hint="eastAsia" w:eastAsia="微软雅黑"/>
          <w:szCs w:val="20"/>
        </w:rPr>
        <w:t xml:space="preserve">the </w:t>
      </w:r>
      <w:r>
        <w:rPr>
          <w:rFonts w:hint="eastAsia" w:eastAsia="微软雅黑"/>
          <w:szCs w:val="20"/>
          <w:lang w:val="en-GB"/>
        </w:rPr>
        <w:t xml:space="preserve">DCI, like </w:t>
      </w:r>
      <w:r>
        <w:rPr>
          <w:rFonts w:hint="eastAsia" w:eastAsia="微软雅黑"/>
          <w:szCs w:val="20"/>
        </w:rPr>
        <w:t xml:space="preserve">indication of the start of </w:t>
      </w:r>
      <w:r>
        <w:rPr>
          <w:rFonts w:hint="eastAsia" w:eastAsia="微软雅黑"/>
          <w:szCs w:val="20"/>
          <w:lang w:val="en-GB"/>
        </w:rPr>
        <w:t>PDSCH</w:t>
      </w:r>
      <w:r>
        <w:rPr>
          <w:rFonts w:hint="eastAsia" w:eastAsia="微软雅黑"/>
          <w:szCs w:val="20"/>
        </w:rPr>
        <w:t xml:space="preserve"> transmission </w:t>
      </w:r>
      <w:r>
        <w:rPr>
          <w:rFonts w:hint="eastAsia" w:eastAsia="微软雅黑"/>
          <w:szCs w:val="20"/>
          <w:lang w:val="en-GB"/>
        </w:rPr>
        <w:t>Rel-15/16</w:t>
      </w:r>
      <w:r>
        <w:rPr>
          <w:rFonts w:eastAsia="微软雅黑"/>
          <w:szCs w:val="20"/>
          <w:lang w:val="en-GB"/>
        </w:rPr>
        <w:t>.</w:t>
      </w:r>
    </w:p>
    <w:p>
      <w:pPr>
        <w:snapToGrid w:val="0"/>
        <w:spacing w:before="120" w:after="120" w:afterLines="50" w:line="300" w:lineRule="auto"/>
        <w:jc w:val="both"/>
        <w:rPr>
          <w:rFonts w:eastAsia="微软雅黑"/>
          <w:i/>
          <w:iCs/>
          <w:szCs w:val="20"/>
        </w:rPr>
      </w:pPr>
      <w:r>
        <w:rPr>
          <w:rFonts w:hint="eastAsia" w:eastAsia="微软雅黑"/>
          <w:b/>
          <w:bCs/>
          <w:i/>
          <w:iCs/>
          <w:szCs w:val="20"/>
        </w:rPr>
        <w:t>Proposal 8:</w:t>
      </w:r>
      <w:r>
        <w:rPr>
          <w:rFonts w:hint="eastAsia" w:eastAsia="微软雅黑"/>
          <w:i/>
          <w:iCs/>
          <w:szCs w:val="20"/>
        </w:rPr>
        <w:t xml:space="preserve"> Regarding application time of the TCI state indication, the following alternatives from RAN1#103e, should be </w:t>
      </w:r>
      <w:r>
        <w:rPr>
          <w:rFonts w:eastAsia="微软雅黑"/>
          <w:i/>
          <w:iCs/>
          <w:szCs w:val="20"/>
        </w:rPr>
        <w:t>supported</w:t>
      </w:r>
      <w:r>
        <w:rPr>
          <w:rFonts w:hint="eastAsia" w:eastAsia="微软雅黑"/>
          <w:i/>
          <w:iCs/>
          <w:szCs w:val="20"/>
        </w:rPr>
        <w:t>:</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Alt2: the first slot that is at least X ms or Y symbols after the acknowledgment of the joint or separate DL/UL beam indication</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Alt1: The beam application time can be configured by the gNB based on UE capability</w:t>
      </w:r>
    </w:p>
    <w:p>
      <w:pPr>
        <w:pStyle w:val="109"/>
        <w:numPr>
          <w:ilvl w:val="1"/>
          <w:numId w:val="7"/>
        </w:numPr>
        <w:snapToGrid w:val="0"/>
        <w:spacing w:before="60" w:beforeLines="25" w:after="60" w:afterLines="25" w:line="300" w:lineRule="auto"/>
        <w:ind w:firstLineChars="0"/>
        <w:jc w:val="both"/>
      </w:pPr>
      <w:r>
        <w:rPr>
          <w:rFonts w:hint="eastAsia" w:eastAsia="微软雅黑"/>
          <w:i/>
          <w:iCs/>
          <w:szCs w:val="20"/>
        </w:rPr>
        <w:t>Furthermore, the beam application time can also be indicated by the DCI.</w:t>
      </w:r>
    </w:p>
    <w:p>
      <w:pPr>
        <w:snapToGrid w:val="0"/>
        <w:spacing w:before="120" w:after="120" w:afterLines="50" w:line="300" w:lineRule="auto"/>
        <w:jc w:val="center"/>
      </w:pPr>
      <w:r>
        <w:object>
          <v:shape id="_x0000_i1028" o:spt="75" type="#_x0000_t75" style="height:161.5pt;width:360.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rFonts w:eastAsia="宋体"/>
          <w:color w:val="0000FF"/>
        </w:rPr>
      </w:pPr>
      <w:r>
        <w:rPr>
          <w:rFonts w:hint="eastAsia"/>
          <w:b/>
          <w:szCs w:val="20"/>
        </w:rPr>
        <w:t>Fig</w:t>
      </w:r>
      <w:r>
        <w:rPr>
          <w:b/>
          <w:szCs w:val="20"/>
        </w:rPr>
        <w:t xml:space="preserve">ure </w:t>
      </w:r>
      <w:r>
        <w:rPr>
          <w:rFonts w:hint="eastAsia" w:eastAsia="宋体"/>
          <w:b/>
          <w:szCs w:val="20"/>
        </w:rPr>
        <w:t>5</w:t>
      </w:r>
      <w:r>
        <w:rPr>
          <w:rFonts w:hint="eastAsia"/>
          <w:szCs w:val="20"/>
        </w:rPr>
        <w:t xml:space="preserve"> </w:t>
      </w:r>
      <w:r>
        <w:rPr>
          <w:szCs w:val="20"/>
        </w:rPr>
        <w:t xml:space="preserve">The recommended </w:t>
      </w:r>
      <w:r>
        <w:rPr>
          <w:rFonts w:eastAsia="宋体"/>
          <w:szCs w:val="20"/>
        </w:rPr>
        <w:t>application time of TCI state indication (i.e., X ms or Y symbols after ACK)</w:t>
      </w:r>
    </w:p>
    <w:p>
      <w:pPr>
        <w:numPr>
          <w:ilvl w:val="2"/>
          <w:numId w:val="5"/>
        </w:numPr>
        <w:tabs>
          <w:tab w:val="clear" w:pos="720"/>
        </w:tabs>
        <w:snapToGrid w:val="0"/>
        <w:spacing w:before="240" w:after="120" w:afterLines="50" w:line="240" w:lineRule="auto"/>
        <w:ind w:left="607" w:hanging="607"/>
        <w:jc w:val="both"/>
        <w:outlineLvl w:val="2"/>
        <w:rPr>
          <w:rFonts w:eastAsia="宋体"/>
          <w:b/>
          <w:bCs/>
          <w:sz w:val="21"/>
          <w:szCs w:val="21"/>
        </w:rPr>
      </w:pPr>
      <w:r>
        <w:rPr>
          <w:rFonts w:eastAsia="宋体"/>
          <w:b/>
          <w:bCs/>
          <w:sz w:val="21"/>
          <w:szCs w:val="21"/>
        </w:rPr>
        <w:t>Applicable scope of the indicated common TCI state</w:t>
      </w:r>
    </w:p>
    <w:p>
      <w:pPr>
        <w:pStyle w:val="109"/>
        <w:widowControl w:val="0"/>
        <w:snapToGrid w:val="0"/>
        <w:spacing w:before="120" w:after="120" w:afterLines="50" w:line="300" w:lineRule="auto"/>
        <w:ind w:firstLine="0" w:firstLineChars="0"/>
        <w:jc w:val="both"/>
        <w:rPr>
          <w:rFonts w:eastAsia="宋体"/>
        </w:rPr>
      </w:pPr>
      <w:r>
        <w:rPr>
          <w:rFonts w:hint="eastAsia" w:eastAsia="宋体"/>
        </w:rPr>
        <w:t>I</w:t>
      </w:r>
      <w:r>
        <w:rPr>
          <w:rFonts w:eastAsia="宋体"/>
        </w:rPr>
        <w:t xml:space="preserve">n RAN1#103-e, separate DL and UL TCI state indication was agreed besides joint DL and UL TCI state indication, and DCI format 1_1 and 1_2 can be used for both of above two cases. Consequently, the applicable scope of an indicated TCI state should be further provided. </w:t>
      </w:r>
    </w:p>
    <w:p>
      <w:pPr>
        <w:pStyle w:val="109"/>
        <w:widowControl w:val="0"/>
        <w:numPr>
          <w:ilvl w:val="0"/>
          <w:numId w:val="7"/>
        </w:numPr>
        <w:snapToGrid w:val="0"/>
        <w:spacing w:before="120" w:after="120" w:afterLines="50" w:line="300" w:lineRule="auto"/>
        <w:ind w:firstLineChars="0"/>
        <w:jc w:val="both"/>
        <w:rPr>
          <w:rFonts w:eastAsia="宋体"/>
        </w:rPr>
      </w:pPr>
      <w:r>
        <w:rPr>
          <w:rFonts w:eastAsia="宋体"/>
        </w:rPr>
        <w:t>In our views, firstly, we need to support two modes about joint and separate TCI state indication: mode-1 “DL+UL” and mode-2 “DL only or UL only”. One of two modes can be pre-configured by RRC.</w:t>
      </w:r>
    </w:p>
    <w:p>
      <w:pPr>
        <w:pStyle w:val="109"/>
        <w:widowControl w:val="0"/>
        <w:numPr>
          <w:ilvl w:val="0"/>
          <w:numId w:val="7"/>
        </w:numPr>
        <w:snapToGrid w:val="0"/>
        <w:spacing w:before="120" w:after="120" w:afterLines="50" w:line="300" w:lineRule="auto"/>
        <w:ind w:firstLineChars="0"/>
        <w:jc w:val="both"/>
        <w:rPr>
          <w:rFonts w:eastAsia="宋体"/>
        </w:rPr>
      </w:pPr>
      <w:r>
        <w:rPr>
          <w:rFonts w:eastAsia="宋体"/>
        </w:rPr>
        <w:t xml:space="preserve">Regarding mode-2 “DL only or UL only” (i.e., separate indication), </w:t>
      </w:r>
      <w:r>
        <w:rPr>
          <w:rFonts w:hint="eastAsia" w:eastAsia="宋体"/>
        </w:rPr>
        <w:t>applicable scope (e.g., DL only or UL only) of indicated TCI state is further indicated by DCI</w:t>
      </w:r>
      <w:r>
        <w:rPr>
          <w:rFonts w:eastAsia="宋体"/>
        </w:rPr>
        <w:t xml:space="preserve">. For instance, we can consider to introduce a new DCI field or reuse the reserved field in DCI (corresponding to an independent ACK mechanism and no PDSCH scheduling as discussed in Section 2.2.2) for indicating the corresponding applicable scope. </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rPr>
        <w:t>9</w:t>
      </w:r>
      <w:r>
        <w:rPr>
          <w:rFonts w:eastAsia="微软雅黑"/>
          <w:b/>
          <w:bCs/>
          <w:i/>
          <w:iCs/>
          <w:szCs w:val="20"/>
        </w:rPr>
        <w:t>:</w:t>
      </w:r>
      <w:r>
        <w:rPr>
          <w:rFonts w:eastAsia="微软雅黑"/>
          <w:i/>
          <w:iCs/>
          <w:szCs w:val="20"/>
        </w:rPr>
        <w:t xml:space="preserve"> Regarding applicable scope of the indicated common TCI state:</w:t>
      </w:r>
    </w:p>
    <w:p>
      <w:pPr>
        <w:pStyle w:val="109"/>
        <w:numPr>
          <w:ilvl w:val="0"/>
          <w:numId w:val="7"/>
        </w:numPr>
        <w:snapToGrid w:val="0"/>
        <w:spacing w:before="60" w:beforeLines="25" w:after="60" w:afterLines="25" w:line="300" w:lineRule="auto"/>
        <w:ind w:firstLineChars="0"/>
        <w:jc w:val="both"/>
        <w:rPr>
          <w:i/>
          <w:iCs/>
        </w:rPr>
      </w:pPr>
      <w:r>
        <w:rPr>
          <w:rFonts w:eastAsia="宋体"/>
          <w:i/>
        </w:rPr>
        <w:t>Two modes: mode-1 “DL+UL” and mode-2 “DL only or UL only” can be configured in RRC for presenting joint and separate TCI state indication, respectively.</w:t>
      </w:r>
    </w:p>
    <w:p>
      <w:pPr>
        <w:pStyle w:val="109"/>
        <w:numPr>
          <w:ilvl w:val="0"/>
          <w:numId w:val="7"/>
        </w:numPr>
        <w:snapToGrid w:val="0"/>
        <w:spacing w:before="60" w:beforeLines="25" w:after="60" w:afterLines="25" w:line="300" w:lineRule="auto"/>
        <w:ind w:firstLineChars="0"/>
        <w:jc w:val="both"/>
        <w:rPr>
          <w:i/>
          <w:iCs/>
        </w:rPr>
      </w:pPr>
      <w:r>
        <w:rPr>
          <w:rFonts w:eastAsia="宋体"/>
          <w:i/>
          <w:iCs/>
        </w:rPr>
        <w:t xml:space="preserve">Regarding </w:t>
      </w:r>
      <w:r>
        <w:rPr>
          <w:rFonts w:eastAsia="宋体"/>
          <w:i/>
        </w:rPr>
        <w:t>mode-2 “DL only or UL only” (i.e., separate TCI state indication), a newly introduced DCI field or a reserved field in DCI can be considered to be used for further indicating the candidates of applicable scope (i.e., DL-only and UL-only).</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L1/L2-centric</w:t>
      </w:r>
      <w:r>
        <w:rPr>
          <w:rFonts w:eastAsia="宋体"/>
          <w:b/>
          <w:bCs/>
          <w:kern w:val="2"/>
          <w:sz w:val="24"/>
          <w:szCs w:val="24"/>
        </w:rPr>
        <w:t xml:space="preserve"> intra-cell and </w:t>
      </w:r>
      <w:r>
        <w:rPr>
          <w:rFonts w:hint="eastAsia" w:eastAsia="宋体"/>
          <w:b/>
          <w:bCs/>
          <w:kern w:val="2"/>
          <w:sz w:val="24"/>
          <w:szCs w:val="24"/>
        </w:rPr>
        <w:t>inter-cell mobility</w:t>
      </w:r>
    </w:p>
    <w:p>
      <w:pPr>
        <w:snapToGrid w:val="0"/>
        <w:spacing w:before="120" w:after="120" w:afterLines="50" w:line="300" w:lineRule="auto"/>
        <w:jc w:val="both"/>
        <w:rPr>
          <w:rFonts w:eastAsia="微软雅黑"/>
          <w:szCs w:val="20"/>
          <w:lang w:val="en-GB"/>
        </w:rPr>
      </w:pPr>
      <w:r>
        <w:rPr>
          <w:rFonts w:hint="eastAsia" w:eastAsia="微软雅黑"/>
          <w:szCs w:val="20"/>
          <w:lang w:val="en-GB"/>
        </w:rPr>
        <w:t>I</w:t>
      </w:r>
      <w:r>
        <w:rPr>
          <w:rFonts w:eastAsia="微软雅黑"/>
          <w:szCs w:val="20"/>
          <w:lang w:val="en-GB"/>
        </w:rPr>
        <w:t>n this subsection, we discuss L1/L2-centric intra-cell and inter-cell mobility, including additional latency for known/unknown beam switching, enhancements on L1/L2-centric inter-cell mobility and SLS evaluation for L1/L2 inter-cell mobility.</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Additional latency for beam switching</w:t>
      </w:r>
    </w:p>
    <w:p>
      <w:pPr>
        <w:snapToGrid w:val="0"/>
        <w:spacing w:before="120" w:after="120" w:afterLines="50" w:line="300" w:lineRule="auto"/>
        <w:jc w:val="both"/>
        <w:rPr>
          <w:rFonts w:eastAsia="宋体"/>
        </w:rPr>
      </w:pPr>
      <w:r>
        <w:rPr>
          <w:rFonts w:eastAsia="微软雅黑"/>
          <w:szCs w:val="20"/>
        </w:rPr>
        <w:t xml:space="preserve">In Rel-15, there is </w:t>
      </w:r>
      <w:r>
        <w:rPr>
          <w:rFonts w:hint="eastAsia" w:eastAsia="微软雅黑"/>
          <w:szCs w:val="20"/>
        </w:rPr>
        <w:t xml:space="preserve">an </w:t>
      </w:r>
      <w:r>
        <w:rPr>
          <w:rFonts w:eastAsia="微软雅黑"/>
          <w:szCs w:val="20"/>
        </w:rPr>
        <w:t xml:space="preserve">additional latency for known/unknown beam switching in RAN4 over RAN1 solution. </w:t>
      </w:r>
    </w:p>
    <w:p>
      <w:pPr>
        <w:pStyle w:val="109"/>
        <w:numPr>
          <w:ilvl w:val="0"/>
          <w:numId w:val="7"/>
        </w:numPr>
        <w:snapToGrid w:val="0"/>
        <w:spacing w:before="120" w:after="120" w:afterLines="50" w:line="300" w:lineRule="auto"/>
        <w:ind w:firstLineChars="0"/>
        <w:jc w:val="both"/>
        <w:rPr>
          <w:rFonts w:eastAsia="宋体"/>
        </w:rPr>
      </w:pPr>
      <w:r>
        <w:rPr>
          <w:rFonts w:hint="eastAsia" w:eastAsia="宋体"/>
        </w:rPr>
        <w:t xml:space="preserve">In NR the beam of PDSCH/PDCCH can be updated by a MAC-CE, the beam in the  MAC-CE can be applied for PDSCH/PDCCH starting from the first slot after </w:t>
      </w:r>
      <w:r>
        <w:rPr>
          <w:color w:val="000000" w:themeColor="text1"/>
          <w14:textFill>
            <w14:solidFill>
              <w14:schemeClr w14:val="tx1"/>
            </w14:solidFill>
          </w14:textFill>
        </w:rPr>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ctrlPr>
              <w:rPr>
                <w:rFonts w:ascii="Cambria Math" w:hAnsi="Cambria Math"/>
              </w:rPr>
            </m:ctrlPr>
          </m:e>
          <m:sub>
            <m:r>
              <w:rPr>
                <w:rFonts w:ascii="Cambria Math" w:hAnsi="Cambria Math"/>
              </w:rPr>
              <m:t>slot</m:t>
            </m:r>
            <m:ctrlPr>
              <w:rPr>
                <w:rFonts w:ascii="Cambria Math" w:hAnsi="Cambria Math"/>
              </w:rPr>
            </m:ctrlPr>
          </m:sub>
          <m:sup>
            <m:r>
              <w:rPr>
                <w:rFonts w:ascii="Cambria Math" w:hAnsi="Cambria Math"/>
              </w:rPr>
              <m:t>subframe,µ</m:t>
            </m:r>
            <m:ctrlPr>
              <w:rPr>
                <w:rFonts w:ascii="Cambria Math" w:hAnsi="Cambria Math"/>
              </w:rPr>
            </m:ctrlPr>
          </m:sup>
        </m:sSubSup>
      </m:oMath>
      <w:r>
        <w:rPr>
          <w:rFonts w:hint="eastAsia" w:ascii="Cambria Math" w:hAnsi="Cambria Math" w:eastAsia="宋体"/>
        </w:rPr>
        <w:t xml:space="preserve"> </w:t>
      </w:r>
      <w:r>
        <w:rPr>
          <w:rFonts w:hint="eastAsia" w:eastAsia="宋体"/>
        </w:rPr>
        <w:t>according to TS 38.214</w:t>
      </w:r>
      <w:r>
        <w:rPr>
          <w:rFonts w:hint="eastAsia" w:ascii="Cambria Math" w:hAnsi="Cambria Math" w:eastAsia="宋体"/>
        </w:rPr>
        <w:t xml:space="preserve">, wherein </w:t>
      </w:r>
      <w:r>
        <w:rPr>
          <w:rFonts w:hint="eastAsia" w:eastAsia="宋体"/>
        </w:rPr>
        <w:t xml:space="preserve">the UE transmits HARQ-ACK for the PDSCH in slot n. </w:t>
      </w:r>
    </w:p>
    <w:p>
      <w:pPr>
        <w:pStyle w:val="109"/>
        <w:numPr>
          <w:ilvl w:val="0"/>
          <w:numId w:val="7"/>
        </w:numPr>
        <w:snapToGrid w:val="0"/>
        <w:spacing w:before="120" w:after="120" w:afterLines="50" w:line="300" w:lineRule="auto"/>
        <w:ind w:firstLineChars="0"/>
        <w:jc w:val="both"/>
        <w:rPr>
          <w:rFonts w:eastAsia="宋体"/>
        </w:rPr>
      </w:pPr>
      <w:r>
        <w:rPr>
          <w:rFonts w:hint="eastAsia" w:eastAsia="宋体"/>
        </w:rPr>
        <w:t xml:space="preserve">But the delay of applying the new TCI state in the MAC-CE </w:t>
      </w:r>
      <w:r>
        <w:rPr>
          <w:rFonts w:eastAsia="宋体"/>
        </w:rPr>
        <w:t>is much</w:t>
      </w:r>
      <w:r>
        <w:rPr>
          <w:rFonts w:hint="eastAsia" w:eastAsia="宋体"/>
        </w:rPr>
        <w:t xml:space="preserve"> longer in 38.133 than in 38.214 as shown in Fig</w:t>
      </w:r>
      <w:r>
        <w:rPr>
          <w:rFonts w:eastAsia="宋体"/>
        </w:rPr>
        <w:t>ure</w:t>
      </w:r>
      <w:r>
        <w:rPr>
          <w:rFonts w:hint="eastAsia" w:eastAsia="宋体"/>
        </w:rPr>
        <w:t xml:space="preserve"> 6. </w:t>
      </w:r>
    </w:p>
    <w:p>
      <w:pPr>
        <w:pStyle w:val="109"/>
        <w:numPr>
          <w:ilvl w:val="1"/>
          <w:numId w:val="7"/>
        </w:numPr>
        <w:snapToGrid w:val="0"/>
        <w:spacing w:before="120" w:after="120" w:afterLines="50" w:line="300" w:lineRule="auto"/>
        <w:ind w:firstLineChars="0"/>
        <w:jc w:val="both"/>
        <w:rPr>
          <w:rFonts w:eastAsia="宋体"/>
        </w:rPr>
      </w:pPr>
      <w:r>
        <w:rPr>
          <w:rFonts w:eastAsia="宋体"/>
        </w:rPr>
        <w:t>The known TCI state switch (i.e., TCI state switch command is received within 1280 ms upon the last transmission of the RS resource for beam reporting or measurement) occurs no later than in slot n+ T</w:t>
      </w:r>
      <w:r>
        <w:rPr>
          <w:rFonts w:eastAsia="宋体"/>
          <w:vertAlign w:val="subscript"/>
        </w:rPr>
        <w:t>HARQ</w:t>
      </w:r>
      <w:r>
        <w:rPr>
          <w:rFonts w:eastAsia="宋体"/>
        </w:rPr>
        <w:t xml:space="preserve"> +(3 ms +TO</w:t>
      </w:r>
      <w:r>
        <w:rPr>
          <w:rFonts w:eastAsia="宋体"/>
          <w:vertAlign w:val="subscript"/>
        </w:rPr>
        <w:t>k</w:t>
      </w:r>
      <w:r>
        <w:rPr>
          <w:rFonts w:eastAsia="宋体"/>
        </w:rPr>
        <w:t>*(T</w:t>
      </w:r>
      <w:r>
        <w:rPr>
          <w:rFonts w:eastAsia="宋体"/>
          <w:vertAlign w:val="subscript"/>
        </w:rPr>
        <w:t>first-SSB</w:t>
      </w:r>
      <w:r>
        <w:rPr>
          <w:rFonts w:eastAsia="宋体"/>
        </w:rPr>
        <w:t xml:space="preserve"> + T</w:t>
      </w:r>
      <w:r>
        <w:rPr>
          <w:rFonts w:eastAsia="宋体"/>
          <w:vertAlign w:val="subscript"/>
        </w:rPr>
        <w:t>SSB-proc</w:t>
      </w:r>
      <w:r>
        <w:rPr>
          <w:rFonts w:eastAsia="宋体"/>
        </w:rPr>
        <w:t>)) / NR slot length, where T</w:t>
      </w:r>
      <w:r>
        <w:rPr>
          <w:rFonts w:eastAsia="宋体"/>
          <w:vertAlign w:val="subscript"/>
        </w:rPr>
        <w:t>first-SSB</w:t>
      </w:r>
      <w:r>
        <w:rPr>
          <w:rFonts w:eastAsia="宋体"/>
        </w:rPr>
        <w:t xml:space="preserve"> is time to first SSB transmission after MAC CE command is decoded by the UE, T</w:t>
      </w:r>
      <w:r>
        <w:rPr>
          <w:rFonts w:eastAsia="宋体"/>
          <w:vertAlign w:val="subscript"/>
        </w:rPr>
        <w:t>SSB-proc</w:t>
      </w:r>
      <w:r>
        <w:rPr>
          <w:rFonts w:eastAsia="宋体"/>
        </w:rPr>
        <w:t xml:space="preserve"> = 2 ms and TO</w:t>
      </w:r>
      <w:r>
        <w:rPr>
          <w:rFonts w:eastAsia="宋体"/>
          <w:vertAlign w:val="subscript"/>
        </w:rPr>
        <w:t>k</w:t>
      </w:r>
      <w:r>
        <w:rPr>
          <w:rFonts w:eastAsia="宋体"/>
        </w:rPr>
        <w:t xml:space="preserve"> = 1 if target TCI state is not in the active TCI state list for PDSCH. Technically, the UE needs to achieve </w:t>
      </w:r>
      <w:r>
        <w:rPr>
          <w:rFonts w:hint="eastAsia" w:eastAsia="宋体"/>
        </w:rPr>
        <w:t>time-frequency synchronization</w:t>
      </w:r>
      <w:r>
        <w:rPr>
          <w:rFonts w:eastAsia="宋体"/>
        </w:rPr>
        <w:t xml:space="preserve"> after beam switching.</w:t>
      </w:r>
    </w:p>
    <w:p>
      <w:pPr>
        <w:pStyle w:val="109"/>
        <w:numPr>
          <w:ilvl w:val="2"/>
          <w:numId w:val="7"/>
        </w:numPr>
        <w:snapToGrid w:val="0"/>
        <w:spacing w:before="120" w:after="120" w:afterLines="50" w:line="300" w:lineRule="auto"/>
        <w:ind w:firstLineChars="0"/>
        <w:jc w:val="both"/>
        <w:rPr>
          <w:rFonts w:eastAsia="宋体"/>
        </w:rPr>
      </w:pPr>
      <w:r>
        <w:rPr>
          <w:rFonts w:eastAsia="宋体"/>
        </w:rPr>
        <w:t>That means, in such case, it</w:t>
      </w:r>
      <w:r>
        <w:rPr>
          <w:rFonts w:hint="eastAsia" w:eastAsia="宋体"/>
        </w:rPr>
        <w:t xml:space="preserve"> additionally includes a </w:t>
      </w:r>
      <w:r>
        <w:rPr>
          <w:rFonts w:eastAsia="宋体"/>
        </w:rPr>
        <w:t>latency for waiting</w:t>
      </w:r>
      <w:r>
        <w:rPr>
          <w:rFonts w:hint="eastAsia" w:eastAsia="宋体"/>
        </w:rPr>
        <w:t xml:space="preserve"> for the first transmission of the SSB which is </w:t>
      </w:r>
      <w:r>
        <w:t xml:space="preserve">the QCL-TypeA or QCL-TypeC to </w:t>
      </w:r>
      <w:r>
        <w:rPr>
          <w:rFonts w:hint="eastAsia"/>
        </w:rPr>
        <w:t>the</w:t>
      </w:r>
      <w:r>
        <w:t xml:space="preserve"> TCI state</w:t>
      </w:r>
      <w:r>
        <w:rPr>
          <w:rFonts w:hint="eastAsia"/>
        </w:rPr>
        <w:t>.</w:t>
      </w:r>
      <w:r>
        <w:t xml:space="preserve"> The additional latency is determined according to</w:t>
      </w:r>
      <w:r>
        <w:rPr>
          <w:rFonts w:hint="eastAsia" w:eastAsia="宋体"/>
        </w:rPr>
        <w:t xml:space="preserve"> </w:t>
      </w:r>
      <w:r>
        <w:rPr>
          <w:rFonts w:eastAsia="宋体"/>
        </w:rPr>
        <w:t xml:space="preserve">the </w:t>
      </w:r>
      <w:r>
        <w:rPr>
          <w:rFonts w:hint="eastAsia" w:eastAsia="宋体"/>
        </w:rPr>
        <w:t>period</w:t>
      </w:r>
      <w:r>
        <w:rPr>
          <w:rFonts w:eastAsia="宋体"/>
        </w:rPr>
        <w:t>icity</w:t>
      </w:r>
      <w:r>
        <w:rPr>
          <w:rFonts w:hint="eastAsia" w:eastAsia="宋体"/>
        </w:rPr>
        <w:t xml:space="preserve"> of SSB which</w:t>
      </w:r>
      <w:r>
        <w:rPr>
          <w:rFonts w:hint="eastAsia"/>
        </w:rPr>
        <w:t xml:space="preserve"> belongs to </w:t>
      </w:r>
      <w:r>
        <w:rPr>
          <w:rFonts w:hint="eastAsia" w:eastAsia="宋体"/>
        </w:rPr>
        <w:t>{5,10, 20,40,80,160}ms.</w:t>
      </w:r>
    </w:p>
    <w:p>
      <w:pPr>
        <w:pStyle w:val="109"/>
        <w:numPr>
          <w:ilvl w:val="1"/>
          <w:numId w:val="7"/>
        </w:numPr>
        <w:snapToGrid w:val="0"/>
        <w:spacing w:before="120" w:after="120" w:afterLines="50" w:line="300" w:lineRule="auto"/>
        <w:ind w:firstLineChars="0"/>
        <w:jc w:val="both"/>
        <w:rPr>
          <w:rFonts w:eastAsia="宋体"/>
        </w:rPr>
      </w:pPr>
      <w:r>
        <w:rPr>
          <w:rFonts w:eastAsia="宋体"/>
        </w:rPr>
        <w:t>The unknown TCI state switch occurs no later than in slot n+ T</w:t>
      </w:r>
      <w:r>
        <w:rPr>
          <w:rFonts w:eastAsia="宋体"/>
          <w:vertAlign w:val="subscript"/>
        </w:rPr>
        <w:t>HARQ</w:t>
      </w:r>
      <w:r>
        <w:rPr>
          <w:rFonts w:eastAsia="宋体"/>
        </w:rPr>
        <w:t xml:space="preserve"> + (3 ms + T</w:t>
      </w:r>
      <w:r>
        <w:rPr>
          <w:rFonts w:eastAsia="宋体"/>
          <w:vertAlign w:val="subscript"/>
        </w:rPr>
        <w:t>L1-RSRP</w:t>
      </w:r>
      <w:r>
        <w:rPr>
          <w:rFonts w:eastAsia="宋体"/>
        </w:rPr>
        <w:t xml:space="preserve"> + TO</w:t>
      </w:r>
      <w:r>
        <w:rPr>
          <w:rFonts w:eastAsia="宋体"/>
          <w:vertAlign w:val="subscript"/>
        </w:rPr>
        <w:t>k</w:t>
      </w:r>
      <w:r>
        <w:rPr>
          <w:rFonts w:eastAsia="宋体"/>
        </w:rPr>
        <w:t>*(T</w:t>
      </w:r>
      <w:r>
        <w:rPr>
          <w:rFonts w:eastAsia="宋体"/>
          <w:vertAlign w:val="subscript"/>
        </w:rPr>
        <w:t>first-SSB</w:t>
      </w:r>
      <w:r>
        <w:rPr>
          <w:rFonts w:eastAsia="宋体"/>
        </w:rPr>
        <w:t xml:space="preserve"> + T</w:t>
      </w:r>
      <w:r>
        <w:rPr>
          <w:rFonts w:eastAsia="宋体"/>
          <w:vertAlign w:val="subscript"/>
        </w:rPr>
        <w:t>SSB-proc</w:t>
      </w:r>
      <w:r>
        <w:rPr>
          <w:rFonts w:eastAsia="宋体"/>
        </w:rPr>
        <w:t>)) / NR slot length, wherein T</w:t>
      </w:r>
      <w:r>
        <w:rPr>
          <w:rFonts w:eastAsia="宋体"/>
          <w:vertAlign w:val="subscript"/>
        </w:rPr>
        <w:t>L1-RSRP</w:t>
      </w:r>
      <w:r>
        <w:rPr>
          <w:rFonts w:eastAsia="宋体"/>
        </w:rPr>
        <w:t xml:space="preserve"> depends on RS periodicity, DRX, SMTC, and UE Rx beam refinement, e.g., ~0.32s in non-DRX; ~7.68s in DRX </w:t>
      </w:r>
    </w:p>
    <w:p>
      <w:pPr>
        <w:pStyle w:val="109"/>
        <w:numPr>
          <w:ilvl w:val="2"/>
          <w:numId w:val="7"/>
        </w:numPr>
        <w:snapToGrid w:val="0"/>
        <w:spacing w:before="120" w:after="120" w:afterLines="50" w:line="300" w:lineRule="auto"/>
        <w:ind w:firstLineChars="0"/>
        <w:jc w:val="both"/>
        <w:rPr>
          <w:rFonts w:eastAsia="宋体"/>
        </w:rPr>
      </w:pPr>
      <w:r>
        <w:rPr>
          <w:rFonts w:eastAsia="宋体"/>
        </w:rPr>
        <w:t>That means, in such case, t</w:t>
      </w:r>
      <w:r>
        <w:rPr>
          <w:rFonts w:hint="eastAsia" w:eastAsia="宋体"/>
        </w:rPr>
        <w:t>he delay of applying a</w:t>
      </w:r>
      <w:r>
        <w:rPr>
          <w:rFonts w:eastAsia="宋体"/>
        </w:rPr>
        <w:t>n</w:t>
      </w:r>
      <w:r>
        <w:rPr>
          <w:rFonts w:hint="eastAsia" w:eastAsia="宋体"/>
        </w:rPr>
        <w:t xml:space="preserve"> unknown TCI state will additionally include a </w:t>
      </w:r>
      <w:r>
        <w:rPr>
          <w:rFonts w:eastAsia="宋体"/>
        </w:rPr>
        <w:t xml:space="preserve">very long </w:t>
      </w:r>
      <w:r>
        <w:rPr>
          <w:rFonts w:hint="eastAsia" w:eastAsia="宋体"/>
        </w:rPr>
        <w:t xml:space="preserve">duration for </w:t>
      </w:r>
      <w:r>
        <w:rPr>
          <w:rFonts w:eastAsia="宋体"/>
        </w:rPr>
        <w:t>T</w:t>
      </w:r>
      <w:r>
        <w:rPr>
          <w:rFonts w:eastAsia="宋体"/>
          <w:vertAlign w:val="subscript"/>
        </w:rPr>
        <w:t>L1-RSRP</w:t>
      </w:r>
      <w:r>
        <w:rPr>
          <w:rFonts w:hint="eastAsia" w:eastAsia="宋体"/>
        </w:rPr>
        <w:t xml:space="preserve"> </w:t>
      </w:r>
      <w:r>
        <w:rPr>
          <w:rFonts w:eastAsia="宋体"/>
        </w:rPr>
        <w:t>besides</w:t>
      </w:r>
      <w:r>
        <w:rPr>
          <w:rFonts w:hint="eastAsia" w:eastAsia="宋体"/>
        </w:rPr>
        <w:t xml:space="preserve"> a duration </w:t>
      </w:r>
      <w:r>
        <w:rPr>
          <w:rFonts w:eastAsia="宋体"/>
        </w:rPr>
        <w:t>of waiting</w:t>
      </w:r>
      <w:r>
        <w:rPr>
          <w:rFonts w:hint="eastAsia" w:eastAsia="宋体"/>
        </w:rPr>
        <w:t xml:space="preserve"> for the first transmission of SSB.</w:t>
      </w:r>
    </w:p>
    <w:p>
      <w:pPr>
        <w:pStyle w:val="109"/>
        <w:snapToGrid w:val="0"/>
        <w:spacing w:before="120" w:after="120" w:afterLines="50" w:line="300" w:lineRule="auto"/>
        <w:ind w:left="360" w:firstLine="0" w:firstLineChars="0"/>
        <w:jc w:val="both"/>
        <w:rPr>
          <w:rFonts w:eastAsia="宋体"/>
        </w:rPr>
      </w:pPr>
      <w:r>
        <w:rPr>
          <w:rFonts w:eastAsia="宋体"/>
        </w:rPr>
        <w:object>
          <v:shape id="_x0000_i1029" o:spt="75" type="#_x0000_t75" style="height:117.5pt;width:432.5pt;" o:ole="t" filled="f" o:preferrelative="t" stroked="f" coordsize="21600,21600">
            <v:path/>
            <v:fill on="f" focussize="0,0"/>
            <v:stroke on="f" joinstyle="miter"/>
            <v:imagedata r:id="rId15" o:title=""/>
            <o:lock v:ext="edit" aspectratio="t"/>
            <w10:wrap type="none"/>
            <w10:anchorlock/>
          </v:shape>
          <o:OLEObject Type="Embed" ProgID="Visio.Drawing.11" ShapeID="_x0000_i1029" DrawAspect="Content" ObjectID="_1468075729" r:id="rId14">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hint="eastAsia" w:eastAsia="宋体"/>
          <w:b/>
          <w:szCs w:val="20"/>
        </w:rPr>
        <w:t>6</w:t>
      </w:r>
      <w:r>
        <w:rPr>
          <w:rFonts w:hint="eastAsia"/>
          <w:szCs w:val="20"/>
        </w:rPr>
        <w:t xml:space="preserve"> </w:t>
      </w:r>
      <w:r>
        <w:rPr>
          <w:szCs w:val="20"/>
        </w:rPr>
        <w:t xml:space="preserve">Applicable timing for updating TCI state(s) in RAN1 and RAN4 </w:t>
      </w:r>
    </w:p>
    <w:p>
      <w:pPr>
        <w:jc w:val="both"/>
        <w:rPr>
          <w:rFonts w:eastAsia="宋体"/>
        </w:rPr>
      </w:pPr>
      <w:r>
        <w:rPr>
          <w:rFonts w:eastAsia="宋体"/>
          <w:b/>
          <w:bCs/>
          <w:i/>
          <w:iCs/>
        </w:rPr>
        <w:t xml:space="preserve">Observation 2: </w:t>
      </w:r>
      <w:r>
        <w:rPr>
          <w:rFonts w:eastAsia="宋体"/>
          <w:i/>
        </w:rPr>
        <w:t xml:space="preserve">If additional timing for waiting for </w:t>
      </w:r>
      <w:r>
        <w:rPr>
          <w:rFonts w:hint="eastAsia" w:eastAsia="宋体"/>
          <w:i/>
        </w:rPr>
        <w:t xml:space="preserve">the </w:t>
      </w:r>
      <w:r>
        <w:rPr>
          <w:rFonts w:eastAsia="宋体"/>
          <w:i/>
        </w:rPr>
        <w:t>first SSB transmission and T</w:t>
      </w:r>
      <w:r>
        <w:rPr>
          <w:rFonts w:eastAsia="宋体"/>
          <w:i/>
          <w:vertAlign w:val="subscript"/>
        </w:rPr>
        <w:t>L1-RSRP</w:t>
      </w:r>
      <w:r>
        <w:rPr>
          <w:rFonts w:eastAsia="宋体"/>
          <w:i/>
        </w:rPr>
        <w:t xml:space="preserve"> can NOT be reduced significantly, latency reduction for int</w:t>
      </w:r>
      <w:r>
        <w:rPr>
          <w:rFonts w:eastAsia="微软雅黑"/>
          <w:i/>
          <w:szCs w:val="20"/>
          <w:lang w:val="en-GB"/>
        </w:rPr>
        <w:t>ra-cell and inter-cell mobility through introducing dynamical/unified TCI approach becomes MEANINGLESS.</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Enhancements on L1/L2-centric intra-cell/inter-cell mobility</w:t>
      </w:r>
    </w:p>
    <w:p>
      <w:pPr>
        <w:snapToGrid w:val="0"/>
        <w:spacing w:before="120" w:after="120" w:afterLines="50" w:line="300" w:lineRule="auto"/>
        <w:jc w:val="both"/>
        <w:rPr>
          <w:rFonts w:eastAsia="宋体"/>
        </w:rPr>
      </w:pPr>
      <w:r>
        <w:rPr>
          <w:rFonts w:hint="eastAsia" w:eastAsia="宋体"/>
        </w:rPr>
        <w:t>I</w:t>
      </w:r>
      <w:r>
        <w:rPr>
          <w:rFonts w:eastAsia="宋体"/>
        </w:rPr>
        <w:t xml:space="preserve">n general, the known TCI state switch is much relevant to intra-cell mobility, and the unknown TCI state switching corresponds to inter-cell mobility. Note that, for inter-cell mobility, </w:t>
      </w:r>
      <w:r>
        <w:rPr>
          <w:rFonts w:hint="eastAsia" w:eastAsia="宋体"/>
        </w:rPr>
        <w:t>the UE just reports an L3 reporting for neighbor</w:t>
      </w:r>
      <w:r>
        <w:rPr>
          <w:rFonts w:eastAsia="宋体"/>
        </w:rPr>
        <w:t>ing</w:t>
      </w:r>
      <w:r>
        <w:rPr>
          <w:rFonts w:hint="eastAsia" w:eastAsia="宋体"/>
        </w:rPr>
        <w:t xml:space="preserve"> cell</w:t>
      </w:r>
      <w:r>
        <w:rPr>
          <w:rFonts w:eastAsia="宋体"/>
        </w:rPr>
        <w:t>, which means that the candidate beam for inter-cell mobility should be assumed as unknown TCI state</w:t>
      </w:r>
      <w:r>
        <w:rPr>
          <w:rFonts w:hint="eastAsia" w:eastAsia="宋体"/>
        </w:rPr>
        <w:t>.</w:t>
      </w:r>
      <w:r>
        <w:rPr>
          <w:rFonts w:eastAsia="宋体"/>
        </w:rPr>
        <w:t xml:space="preserve"> In this subsection, we elaborate potential enhancement for intra-cell and inter-cell mobility.</w:t>
      </w:r>
    </w:p>
    <w:p>
      <w:pPr>
        <w:pStyle w:val="109"/>
        <w:snapToGrid w:val="0"/>
        <w:spacing w:before="120" w:after="120" w:afterLines="50" w:line="300" w:lineRule="auto"/>
        <w:ind w:firstLine="0" w:firstLineChars="0"/>
        <w:jc w:val="both"/>
        <w:rPr>
          <w:rFonts w:eastAsia="宋体"/>
          <w:b/>
          <w:u w:val="single"/>
        </w:rPr>
      </w:pPr>
      <w:r>
        <w:rPr>
          <w:rFonts w:eastAsia="宋体"/>
          <w:b/>
          <w:u w:val="single"/>
        </w:rPr>
        <w:t>Intra-cell beam switching: reducing activation delay of TCI state</w:t>
      </w:r>
    </w:p>
    <w:p>
      <w:pPr>
        <w:pStyle w:val="109"/>
        <w:snapToGrid w:val="0"/>
        <w:spacing w:before="120" w:after="120" w:afterLines="50" w:line="300" w:lineRule="auto"/>
        <w:ind w:firstLine="0" w:firstLineChars="0"/>
        <w:jc w:val="both"/>
        <w:rPr>
          <w:rFonts w:eastAsia="宋体"/>
        </w:rPr>
      </w:pPr>
      <w:r>
        <w:rPr>
          <w:rFonts w:hint="eastAsia" w:eastAsia="宋体"/>
        </w:rPr>
        <w:t>F</w:t>
      </w:r>
      <w:r>
        <w:rPr>
          <w:rFonts w:eastAsia="宋体"/>
        </w:rPr>
        <w:t>or intra-cell beam switching (corresponding to the known TCI state switch), we need to further reduce the latency of waiting for the first SSB after beam switching command, e.g., MAC-CE. Some mechanism</w:t>
      </w:r>
      <w:r>
        <w:rPr>
          <w:rFonts w:hint="eastAsia" w:eastAsia="宋体"/>
        </w:rPr>
        <w:t>s</w:t>
      </w:r>
      <w:r>
        <w:rPr>
          <w:rFonts w:eastAsia="宋体"/>
        </w:rPr>
        <w:t xml:space="preserve"> of pre-frequency/time synchronization should be further studied. </w:t>
      </w:r>
      <w:r>
        <w:rPr>
          <w:rFonts w:hint="eastAsia" w:eastAsia="宋体"/>
        </w:rPr>
        <w:t xml:space="preserve">For example, the UE may </w:t>
      </w:r>
      <w:r>
        <w:rPr>
          <w:rFonts w:eastAsia="宋体"/>
        </w:rPr>
        <w:t>be configured/activated with</w:t>
      </w:r>
      <w:r>
        <w:rPr>
          <w:rFonts w:hint="eastAsia" w:eastAsia="宋体"/>
        </w:rPr>
        <w:t xml:space="preserve"> </w:t>
      </w:r>
      <w:r>
        <w:rPr>
          <w:rFonts w:eastAsia="宋体"/>
        </w:rPr>
        <w:t>one or more</w:t>
      </w:r>
      <w:r>
        <w:rPr>
          <w:rFonts w:hint="eastAsia" w:eastAsia="宋体"/>
        </w:rPr>
        <w:t xml:space="preserve"> SSB</w:t>
      </w:r>
      <w:r>
        <w:rPr>
          <w:rFonts w:eastAsia="宋体"/>
        </w:rPr>
        <w:t>(s) in a pool and perform</w:t>
      </w:r>
      <w:r>
        <w:rPr>
          <w:rFonts w:hint="eastAsia" w:eastAsia="宋体"/>
        </w:rPr>
        <w:t xml:space="preserve"> </w:t>
      </w:r>
      <w:r>
        <w:rPr>
          <w:rFonts w:eastAsia="宋体"/>
        </w:rPr>
        <w:t>frequency/time synchronization</w:t>
      </w:r>
      <w:r>
        <w:rPr>
          <w:rFonts w:hint="eastAsia" w:eastAsia="宋体"/>
        </w:rPr>
        <w:t xml:space="preserve"> of SSB</w:t>
      </w:r>
      <w:r>
        <w:rPr>
          <w:rFonts w:eastAsia="宋体"/>
        </w:rPr>
        <w:t>(s)</w:t>
      </w:r>
      <w:r>
        <w:rPr>
          <w:rFonts w:hint="eastAsia" w:eastAsia="宋体"/>
        </w:rPr>
        <w:t xml:space="preserve"> in the SSB pool. If </w:t>
      </w:r>
      <w:r>
        <w:rPr>
          <w:rFonts w:eastAsia="宋体"/>
        </w:rPr>
        <w:t>a</w:t>
      </w:r>
      <w:r>
        <w:rPr>
          <w:rFonts w:hint="eastAsia" w:eastAsia="宋体"/>
        </w:rPr>
        <w:t xml:space="preserve"> SSB </w:t>
      </w:r>
      <w:r>
        <w:rPr>
          <w:rFonts w:eastAsia="宋体"/>
        </w:rPr>
        <w:t>corresponding to a</w:t>
      </w:r>
      <w:r>
        <w:rPr>
          <w:rFonts w:hint="eastAsia" w:eastAsia="宋体"/>
        </w:rPr>
        <w:t xml:space="preserve"> new activated TCI state is </w:t>
      </w:r>
      <w:r>
        <w:rPr>
          <w:rFonts w:eastAsia="宋体"/>
        </w:rPr>
        <w:t>from</w:t>
      </w:r>
      <w:r>
        <w:rPr>
          <w:rFonts w:hint="eastAsia" w:eastAsia="宋体"/>
        </w:rPr>
        <w:t xml:space="preserve"> the SSB pool, the UE can apply the new TCI state</w:t>
      </w:r>
      <w:r>
        <w:rPr>
          <w:rFonts w:eastAsia="宋体"/>
        </w:rPr>
        <w:t xml:space="preserve"> directly</w:t>
      </w:r>
      <w:r>
        <w:rPr>
          <w:rFonts w:hint="eastAsia" w:eastAsia="宋体"/>
        </w:rPr>
        <w:t xml:space="preserve"> without waiting for the first transmission of the SSB.</w:t>
      </w:r>
    </w:p>
    <w:p>
      <w:pPr>
        <w:snapToGrid w:val="0"/>
        <w:spacing w:before="120" w:after="120" w:afterLines="50" w:line="300" w:lineRule="auto"/>
        <w:jc w:val="both"/>
        <w:rPr>
          <w:rFonts w:eastAsia="宋体"/>
          <w:i/>
        </w:rPr>
      </w:pPr>
      <w:r>
        <w:rPr>
          <w:rFonts w:hint="eastAsia" w:eastAsia="微软雅黑"/>
          <w:b/>
          <w:bCs/>
          <w:i/>
          <w:iCs/>
          <w:szCs w:val="20"/>
        </w:rPr>
        <w:t>Proposal 10:</w:t>
      </w:r>
      <w:r>
        <w:rPr>
          <w:rFonts w:eastAsia="微软雅黑"/>
          <w:i/>
          <w:iCs/>
          <w:szCs w:val="20"/>
        </w:rPr>
        <w:t xml:space="preserve"> </w:t>
      </w:r>
      <w:r>
        <w:rPr>
          <w:rFonts w:eastAsia="宋体"/>
          <w:i/>
        </w:rPr>
        <w:t>Further study the mechanism of saving latency about “first SSB transmission after MAC-CE command” for known TCI state switching.</w:t>
      </w:r>
    </w:p>
    <w:p>
      <w:pPr>
        <w:pStyle w:val="109"/>
        <w:numPr>
          <w:ilvl w:val="0"/>
          <w:numId w:val="7"/>
        </w:numPr>
        <w:snapToGrid w:val="0"/>
        <w:spacing w:before="60" w:beforeLines="25" w:after="60" w:afterLines="25" w:line="300" w:lineRule="auto"/>
        <w:ind w:firstLineChars="0"/>
        <w:jc w:val="both"/>
        <w:rPr>
          <w:rFonts w:eastAsia="宋体"/>
          <w:i/>
        </w:rPr>
      </w:pPr>
      <w:r>
        <w:rPr>
          <w:rFonts w:hint="eastAsia" w:eastAsia="宋体"/>
          <w:i/>
        </w:rPr>
        <w:t>F</w:t>
      </w:r>
      <w:r>
        <w:rPr>
          <w:rFonts w:eastAsia="宋体"/>
          <w:i/>
        </w:rPr>
        <w:t>or instance, UE may track one or more SSB(s) from a SSB pool that is explicitly activated by MAC-CE</w:t>
      </w:r>
    </w:p>
    <w:p>
      <w:pPr>
        <w:pStyle w:val="109"/>
        <w:snapToGrid w:val="0"/>
        <w:spacing w:before="120" w:after="120" w:afterLines="50" w:line="300" w:lineRule="auto"/>
        <w:ind w:firstLine="0" w:firstLineChars="0"/>
        <w:jc w:val="both"/>
        <w:rPr>
          <w:rFonts w:eastAsia="宋体"/>
        </w:rPr>
      </w:pPr>
      <w:r>
        <w:rPr>
          <w:rFonts w:hint="eastAsia" w:eastAsia="宋体"/>
        </w:rPr>
        <w:t>N</w:t>
      </w:r>
      <w:r>
        <w:rPr>
          <w:rFonts w:eastAsia="宋体"/>
        </w:rPr>
        <w:t>otice that this issue can also be considered to be handled in item-6 (advanced beam refinement/tracking) besides item-2 (L1/L2- mobility).</w:t>
      </w:r>
    </w:p>
    <w:p>
      <w:pPr>
        <w:pStyle w:val="109"/>
        <w:snapToGrid w:val="0"/>
        <w:spacing w:before="120" w:after="120" w:afterLines="50" w:line="300" w:lineRule="auto"/>
        <w:ind w:firstLine="0" w:firstLineChars="0"/>
        <w:jc w:val="both"/>
        <w:rPr>
          <w:rFonts w:eastAsia="宋体"/>
          <w:b/>
          <w:u w:val="single"/>
        </w:rPr>
      </w:pPr>
      <w:r>
        <w:rPr>
          <w:rFonts w:eastAsia="宋体"/>
          <w:b/>
          <w:u w:val="single"/>
        </w:rPr>
        <w:t>Inter-cell beam switching: reducing delay of unknown TCI state</w:t>
      </w:r>
    </w:p>
    <w:p>
      <w:pPr>
        <w:pStyle w:val="109"/>
        <w:snapToGrid w:val="0"/>
        <w:spacing w:before="120" w:after="120" w:afterLines="50" w:line="300" w:lineRule="auto"/>
        <w:ind w:firstLine="0" w:firstLineChars="0"/>
        <w:jc w:val="both"/>
        <w:rPr>
          <w:rFonts w:eastAsia="宋体"/>
        </w:rPr>
      </w:pPr>
      <w:r>
        <w:rPr>
          <w:rFonts w:eastAsia="宋体"/>
        </w:rPr>
        <w:t>For inter-cell mobility (corresponding to the unknown TCI state switching), enhancements on L1-RSRP reporting and dynamic indication for DL/UL beam(s) in a neighboring cell can be considered. For instance, we can consider L1-RSRP reporting based on SSB/CSI-RS for mobility.</w:t>
      </w:r>
      <w:r>
        <w:rPr>
          <w:rFonts w:hint="eastAsia" w:eastAsia="宋体"/>
        </w:rPr>
        <w:t xml:space="preserve"> Further, </w:t>
      </w:r>
      <w:r>
        <w:rPr>
          <w:rFonts w:eastAsia="宋体"/>
        </w:rPr>
        <w:t>th</w:t>
      </w:r>
      <w:r>
        <w:rPr>
          <w:rFonts w:hint="eastAsia" w:eastAsia="宋体"/>
        </w:rPr>
        <w:t>ere are following candidate methods</w:t>
      </w:r>
      <w:r>
        <w:rPr>
          <w:rFonts w:eastAsia="宋体"/>
        </w:rPr>
        <w:t>, taking into account UE complexity and power consumption</w:t>
      </w:r>
      <w:r>
        <w:rPr>
          <w:rFonts w:hint="eastAsia" w:eastAsia="宋体"/>
        </w:rPr>
        <w:t xml:space="preserve">. </w:t>
      </w:r>
    </w:p>
    <w:p>
      <w:pPr>
        <w:pStyle w:val="109"/>
        <w:numPr>
          <w:ilvl w:val="0"/>
          <w:numId w:val="7"/>
        </w:numPr>
        <w:snapToGrid w:val="0"/>
        <w:spacing w:before="120" w:after="120" w:afterLines="50" w:line="300" w:lineRule="auto"/>
        <w:ind w:firstLineChars="0"/>
        <w:jc w:val="both"/>
        <w:rPr>
          <w:rFonts w:eastAsia="宋体"/>
        </w:rPr>
      </w:pPr>
      <w:r>
        <w:rPr>
          <w:rFonts w:hint="eastAsia" w:eastAsia="宋体"/>
        </w:rPr>
        <w:t>Method</w:t>
      </w:r>
      <w:r>
        <w:rPr>
          <w:rFonts w:eastAsia="宋体"/>
        </w:rPr>
        <w:t>-1</w:t>
      </w:r>
      <w:r>
        <w:rPr>
          <w:rFonts w:hint="eastAsia" w:eastAsia="宋体"/>
        </w:rPr>
        <w:t xml:space="preserve">: The gNB </w:t>
      </w:r>
      <w:r>
        <w:rPr>
          <w:rFonts w:eastAsia="宋体"/>
        </w:rPr>
        <w:t xml:space="preserve">can trigger an </w:t>
      </w:r>
      <w:r>
        <w:rPr>
          <w:rFonts w:hint="eastAsia" w:eastAsia="宋体"/>
        </w:rPr>
        <w:t xml:space="preserve">L1 reporting by </w:t>
      </w:r>
      <w:r>
        <w:rPr>
          <w:rFonts w:eastAsia="宋体"/>
        </w:rPr>
        <w:t xml:space="preserve">PUSCH or </w:t>
      </w:r>
      <w:r>
        <w:rPr>
          <w:rFonts w:hint="eastAsia" w:eastAsia="宋体"/>
        </w:rPr>
        <w:t xml:space="preserve">MAC-CE after the gNB receives an L3 mobility reporting which includes a few of selected neighboring cells. </w:t>
      </w:r>
    </w:p>
    <w:p>
      <w:pPr>
        <w:pStyle w:val="109"/>
        <w:numPr>
          <w:ilvl w:val="1"/>
          <w:numId w:val="7"/>
        </w:numPr>
        <w:snapToGrid w:val="0"/>
        <w:spacing w:before="120" w:after="120" w:afterLines="50" w:line="300" w:lineRule="auto"/>
        <w:ind w:firstLineChars="0"/>
        <w:jc w:val="both"/>
        <w:rPr>
          <w:rFonts w:eastAsia="宋体"/>
        </w:rPr>
      </w:pPr>
      <w:r>
        <w:rPr>
          <w:rFonts w:eastAsia="宋体"/>
        </w:rPr>
        <w:t xml:space="preserve">For CSI framework of L1 reporting for neighboring cell(s), a new </w:t>
      </w:r>
      <w:r>
        <w:rPr>
          <w:rFonts w:hint="eastAsia" w:eastAsia="宋体"/>
        </w:rPr>
        <w:t xml:space="preserve">MAC-CE </w:t>
      </w:r>
      <w:r>
        <w:rPr>
          <w:rFonts w:eastAsia="宋体"/>
        </w:rPr>
        <w:t xml:space="preserve">can be introduced for </w:t>
      </w:r>
      <w:r>
        <w:rPr>
          <w:rFonts w:hint="eastAsia" w:eastAsia="宋体"/>
        </w:rPr>
        <w:t>activat</w:t>
      </w:r>
      <w:r>
        <w:rPr>
          <w:rFonts w:eastAsia="宋体"/>
        </w:rPr>
        <w:t>ing</w:t>
      </w:r>
      <w:r>
        <w:rPr>
          <w:rFonts w:hint="eastAsia" w:eastAsia="宋体"/>
        </w:rPr>
        <w:t xml:space="preserve"> PCI</w:t>
      </w:r>
      <w:r>
        <w:rPr>
          <w:rFonts w:eastAsia="宋体"/>
        </w:rPr>
        <w:t>(s)</w:t>
      </w:r>
      <w:r>
        <w:rPr>
          <w:rFonts w:hint="eastAsia" w:eastAsia="宋体"/>
        </w:rPr>
        <w:t xml:space="preserve"> for a CSI-Reporting. </w:t>
      </w:r>
      <w:r>
        <w:rPr>
          <w:rFonts w:eastAsia="宋体"/>
        </w:rPr>
        <w:t xml:space="preserve">CMR/IMR to be measured for the CSI-Reporting should be </w:t>
      </w:r>
      <w:r>
        <w:rPr>
          <w:rFonts w:hint="eastAsia" w:eastAsia="宋体"/>
        </w:rPr>
        <w:t>the CSI-RS/SSB of the PCI configured in MeasObject for mobility</w:t>
      </w:r>
      <w:r>
        <w:rPr>
          <w:rFonts w:eastAsia="宋体"/>
        </w:rPr>
        <w:t xml:space="preserve"> and can be implicitly derived according to the activated PCI instead of according to any further RRC reconfiguration.</w:t>
      </w:r>
    </w:p>
    <w:p>
      <w:pPr>
        <w:pStyle w:val="109"/>
        <w:numPr>
          <w:ilvl w:val="0"/>
          <w:numId w:val="7"/>
        </w:numPr>
        <w:snapToGrid w:val="0"/>
        <w:spacing w:before="120" w:after="120" w:afterLines="50" w:line="300" w:lineRule="auto"/>
        <w:ind w:firstLineChars="0"/>
        <w:jc w:val="both"/>
        <w:rPr>
          <w:rFonts w:eastAsia="宋体"/>
        </w:rPr>
      </w:pPr>
      <w:r>
        <w:rPr>
          <w:rFonts w:hint="eastAsia" w:eastAsia="宋体"/>
        </w:rPr>
        <w:t>Method</w:t>
      </w:r>
      <w:r>
        <w:rPr>
          <w:rFonts w:eastAsia="宋体"/>
        </w:rPr>
        <w:t>-2</w:t>
      </w:r>
      <w:r>
        <w:rPr>
          <w:rFonts w:hint="eastAsia" w:eastAsia="宋体"/>
        </w:rPr>
        <w:t xml:space="preserve">: </w:t>
      </w:r>
      <w:r>
        <w:rPr>
          <w:rFonts w:eastAsia="宋体"/>
        </w:rPr>
        <w:t xml:space="preserve">Beam-level event-driven mechanism for L1/L2-centric inter-cell mobility. </w:t>
      </w:r>
    </w:p>
    <w:p>
      <w:pPr>
        <w:pStyle w:val="109"/>
        <w:numPr>
          <w:ilvl w:val="1"/>
          <w:numId w:val="7"/>
        </w:numPr>
        <w:snapToGrid w:val="0"/>
        <w:spacing w:before="120" w:after="120" w:afterLines="50" w:line="300" w:lineRule="auto"/>
        <w:ind w:firstLineChars="0"/>
        <w:jc w:val="both"/>
        <w:rPr>
          <w:rFonts w:eastAsia="宋体"/>
        </w:rPr>
      </w:pPr>
      <w:r>
        <w:rPr>
          <w:rFonts w:eastAsia="宋体"/>
        </w:rPr>
        <w:t xml:space="preserve">For instance, L1-RSRP reporting can be carried by a MAC-CE after initialized by an event (e.g., when a neighboring cell has a better channel quality than a serving cell). Instead of specifying UE measurement and this triggering event in MAC level, we can consider that the event can be directly initialized from </w:t>
      </w:r>
      <w:r>
        <w:rPr>
          <w:rFonts w:hint="eastAsia" w:eastAsia="宋体"/>
        </w:rPr>
        <w:t>an L3 mobility measurement.</w:t>
      </w:r>
      <w:r>
        <w:rPr>
          <w:rFonts w:eastAsia="宋体"/>
        </w:rPr>
        <w:t xml:space="preserve"> </w:t>
      </w:r>
    </w:p>
    <w:p>
      <w:pPr>
        <w:pStyle w:val="109"/>
        <w:snapToGrid w:val="0"/>
        <w:spacing w:before="120" w:after="120" w:afterLines="50" w:line="300" w:lineRule="auto"/>
        <w:ind w:firstLine="0" w:firstLineChars="0"/>
        <w:jc w:val="both"/>
        <w:rPr>
          <w:rFonts w:eastAsia="宋体"/>
        </w:rPr>
      </w:pPr>
      <w:r>
        <w:rPr>
          <w:rFonts w:hint="eastAsia" w:eastAsia="宋体"/>
        </w:rPr>
        <w:t>Compared with Method</w:t>
      </w:r>
      <w:r>
        <w:rPr>
          <w:rFonts w:eastAsia="宋体"/>
        </w:rPr>
        <w:t>-1</w:t>
      </w:r>
      <w:r>
        <w:rPr>
          <w:rFonts w:hint="eastAsia" w:eastAsia="宋体"/>
        </w:rPr>
        <w:t>, the latency of Method</w:t>
      </w:r>
      <w:r>
        <w:rPr>
          <w:rFonts w:eastAsia="宋体"/>
        </w:rPr>
        <w:t>-2</w:t>
      </w:r>
      <w:r>
        <w:rPr>
          <w:rFonts w:hint="eastAsia" w:eastAsia="宋体"/>
        </w:rPr>
        <w:t xml:space="preserve"> </w:t>
      </w:r>
      <w:r>
        <w:rPr>
          <w:rFonts w:eastAsia="宋体"/>
        </w:rPr>
        <w:t>should be</w:t>
      </w:r>
      <w:r>
        <w:rPr>
          <w:rFonts w:hint="eastAsia" w:eastAsia="宋体"/>
        </w:rPr>
        <w:t xml:space="preserve"> smaller because the UE can initiate the L1 reporting for a neighboring cell </w:t>
      </w:r>
      <w:r>
        <w:rPr>
          <w:rFonts w:eastAsia="宋体"/>
        </w:rPr>
        <w:t xml:space="preserve">by trigger event </w:t>
      </w:r>
      <w:r>
        <w:rPr>
          <w:rFonts w:hint="eastAsia" w:eastAsia="宋体"/>
        </w:rPr>
        <w:t>without waiting for the signaling from gNB.</w:t>
      </w:r>
      <w:r>
        <w:rPr>
          <w:rFonts w:eastAsia="宋体"/>
        </w:rPr>
        <w:t xml:space="preserve"> But, as an expense, Method-2 may have some more spec impacts, e.g., support event-driven UE behavior as current PCell/SCell beam failure recovery.</w:t>
      </w:r>
      <w:r>
        <w:rPr>
          <w:rFonts w:hint="eastAsia" w:eastAsia="宋体"/>
        </w:rPr>
        <w:t xml:space="preserve"> M</w:t>
      </w:r>
      <w:r>
        <w:rPr>
          <w:rFonts w:eastAsia="宋体"/>
        </w:rPr>
        <w:t>ore details can be found in our companion contribution [</w:t>
      </w:r>
      <w:r>
        <w:rPr>
          <w:rFonts w:hint="eastAsia" w:eastAsia="宋体"/>
        </w:rPr>
        <w:t>2</w:t>
      </w:r>
      <w:r>
        <w:rPr>
          <w:rFonts w:eastAsia="宋体"/>
        </w:rPr>
        <w:t>].</w:t>
      </w:r>
    </w:p>
    <w:p>
      <w:pPr>
        <w:snapToGrid w:val="0"/>
        <w:spacing w:before="60" w:beforeLines="25" w:after="60" w:afterLines="25" w:line="300" w:lineRule="auto"/>
        <w:jc w:val="both"/>
        <w:rPr>
          <w:rFonts w:eastAsia="宋体"/>
          <w:i/>
        </w:rPr>
      </w:pPr>
      <w:r>
        <w:rPr>
          <w:rFonts w:hint="eastAsia"/>
          <w:b/>
          <w:bCs/>
          <w:i/>
          <w:iCs/>
        </w:rPr>
        <w:t xml:space="preserve">Proposal </w:t>
      </w:r>
      <w:r>
        <w:rPr>
          <w:rFonts w:hint="eastAsia" w:eastAsia="宋体"/>
          <w:b/>
          <w:bCs/>
          <w:i/>
          <w:iCs/>
        </w:rPr>
        <w:t>11</w:t>
      </w:r>
      <w:r>
        <w:rPr>
          <w:rFonts w:hint="eastAsia"/>
          <w:b/>
          <w:bCs/>
          <w:i/>
          <w:iCs/>
        </w:rPr>
        <w:t>:</w:t>
      </w:r>
      <w:r>
        <w:rPr>
          <w:b/>
          <w:bCs/>
          <w:i/>
          <w:iCs/>
        </w:rPr>
        <w:t xml:space="preserve"> </w:t>
      </w:r>
      <w:r>
        <w:rPr>
          <w:rFonts w:eastAsia="微软雅黑"/>
          <w:i/>
          <w:szCs w:val="20"/>
        </w:rPr>
        <w:t>Regarding L1/L2-centric inter-cell mobility, support</w:t>
      </w:r>
      <w:r>
        <w:rPr>
          <w:rFonts w:eastAsia="宋体"/>
          <w:i/>
        </w:rPr>
        <w:t xml:space="preserve"> at least one of the following methods for </w:t>
      </w:r>
      <w:r>
        <w:rPr>
          <w:rFonts w:eastAsia="微软雅黑"/>
          <w:i/>
          <w:szCs w:val="20"/>
        </w:rPr>
        <w:t>reducing the delay of applying the new TCI state including RS resource of neighbor cell, i.e., corresponding to unknown TCI state switching</w:t>
      </w:r>
      <w:r>
        <w:rPr>
          <w:rFonts w:eastAsia="宋体"/>
          <w:i/>
        </w:rPr>
        <w:t>.</w:t>
      </w:r>
    </w:p>
    <w:p>
      <w:pPr>
        <w:pStyle w:val="109"/>
        <w:numPr>
          <w:ilvl w:val="0"/>
          <w:numId w:val="7"/>
        </w:numPr>
        <w:snapToGrid w:val="0"/>
        <w:spacing w:before="60" w:beforeLines="25" w:after="60" w:afterLines="25" w:line="300" w:lineRule="auto"/>
        <w:ind w:firstLineChars="0"/>
        <w:jc w:val="both"/>
        <w:rPr>
          <w:rFonts w:eastAsia="宋体"/>
          <w:i/>
        </w:rPr>
      </w:pPr>
      <w:r>
        <w:rPr>
          <w:rFonts w:eastAsia="宋体"/>
          <w:i/>
        </w:rPr>
        <w:t>Method-1: The gNB can trigger an L1 reporting for a neighboring cell.</w:t>
      </w:r>
    </w:p>
    <w:p>
      <w:pPr>
        <w:pStyle w:val="109"/>
        <w:numPr>
          <w:ilvl w:val="1"/>
          <w:numId w:val="7"/>
        </w:numPr>
        <w:snapToGrid w:val="0"/>
        <w:spacing w:before="60" w:beforeLines="25" w:after="60" w:afterLines="25" w:line="300" w:lineRule="auto"/>
        <w:ind w:firstLineChars="0"/>
        <w:jc w:val="both"/>
        <w:rPr>
          <w:rFonts w:eastAsia="宋体"/>
          <w:i/>
        </w:rPr>
      </w:pPr>
      <w:r>
        <w:rPr>
          <w:rFonts w:eastAsia="宋体"/>
          <w:i/>
        </w:rPr>
        <w:t>For instance, a new MAC-CE can be introduced for activating PCI(s), and CMR/IMR configured in MeasObject can be implicitly derived according to the activated PCI instead of according to any further RRC reconfiguration.</w:t>
      </w:r>
    </w:p>
    <w:p>
      <w:pPr>
        <w:pStyle w:val="109"/>
        <w:numPr>
          <w:ilvl w:val="0"/>
          <w:numId w:val="7"/>
        </w:numPr>
        <w:snapToGrid w:val="0"/>
        <w:spacing w:before="60" w:beforeLines="25" w:after="60" w:afterLines="25" w:line="300" w:lineRule="auto"/>
        <w:ind w:firstLineChars="0"/>
        <w:jc w:val="both"/>
        <w:rPr>
          <w:rFonts w:eastAsia="宋体"/>
          <w:i/>
        </w:rPr>
      </w:pPr>
      <w:r>
        <w:rPr>
          <w:rFonts w:eastAsia="宋体"/>
          <w:i/>
        </w:rPr>
        <w:t>Method-2: Beam-level event-driven mechanism for L1/L2-centric inter-cell mobility,</w:t>
      </w:r>
    </w:p>
    <w:p>
      <w:pPr>
        <w:pStyle w:val="109"/>
        <w:numPr>
          <w:ilvl w:val="1"/>
          <w:numId w:val="7"/>
        </w:numPr>
        <w:snapToGrid w:val="0"/>
        <w:spacing w:before="60" w:beforeLines="25" w:after="60" w:afterLines="25" w:line="300" w:lineRule="auto"/>
        <w:ind w:firstLineChars="0"/>
        <w:jc w:val="both"/>
        <w:rPr>
          <w:rFonts w:eastAsia="宋体"/>
          <w:i/>
        </w:rPr>
      </w:pPr>
      <w:r>
        <w:rPr>
          <w:rFonts w:eastAsia="宋体"/>
          <w:i/>
        </w:rPr>
        <w:t>For instance, L1-RSRP reporting involving new candidate beams and neighboring cell information (e.g., PCI) can be carried by a MAC-CE after initialized by an event triggered by L3 mobility measurement.</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SLS evaluation for L1/L2 inter-cell mobility</w:t>
      </w:r>
    </w:p>
    <w:p>
      <w:pPr>
        <w:snapToGrid w:val="0"/>
        <w:spacing w:before="120" w:after="120" w:afterLines="50" w:line="300" w:lineRule="auto"/>
        <w:jc w:val="both"/>
        <w:rPr>
          <w:rFonts w:eastAsia="微软雅黑"/>
          <w:szCs w:val="20"/>
        </w:rPr>
      </w:pPr>
      <w:r>
        <w:rPr>
          <w:rFonts w:eastAsia="微软雅黑"/>
          <w:szCs w:val="20"/>
        </w:rPr>
        <w:t xml:space="preserve">In high-speed train (HST) scenario as shown in Figure </w:t>
      </w:r>
      <w:r>
        <w:rPr>
          <w:rFonts w:hint="eastAsia" w:eastAsia="微软雅黑"/>
          <w:szCs w:val="20"/>
        </w:rPr>
        <w:t>7</w:t>
      </w:r>
      <w:r>
        <w:rPr>
          <w:rFonts w:eastAsia="微软雅黑"/>
          <w:szCs w:val="20"/>
        </w:rPr>
        <w:t xml:space="preserve">, we evaluate SLS performance for L1/L2 mobility and L3 mobility according to the agreed EVM assumption. Notice that </w:t>
      </w:r>
      <w:r>
        <w:rPr>
          <w:rFonts w:eastAsia="微软雅黑"/>
          <w:szCs w:val="20"/>
          <w:lang w:val="en-GB"/>
        </w:rPr>
        <w:t xml:space="preserve">speed of UE is 256 km/h. There are two neighbouring cells, each of which includes three RRHs. </w:t>
      </w:r>
      <w:r>
        <w:rPr>
          <w:rFonts w:eastAsia="微软雅黑"/>
          <w:szCs w:val="20"/>
        </w:rPr>
        <w:t xml:space="preserve">For sake of presentation, we provide the simulation results from N point to Q point where the UE accesses the neighboring Cell #2 from the serving Cell #1. </w:t>
      </w:r>
    </w:p>
    <w:p>
      <w:pPr>
        <w:pStyle w:val="111"/>
        <w:numPr>
          <w:ilvl w:val="0"/>
          <w:numId w:val="7"/>
        </w:numPr>
        <w:snapToGrid w:val="0"/>
        <w:spacing w:before="120" w:after="120" w:afterLines="50" w:line="300" w:lineRule="auto"/>
        <w:ind w:firstLineChars="0"/>
        <w:jc w:val="both"/>
        <w:rPr>
          <w:rFonts w:eastAsia="微软雅黑"/>
          <w:szCs w:val="20"/>
        </w:rPr>
      </w:pPr>
      <w:r>
        <w:rPr>
          <w:rFonts w:hint="eastAsia" w:eastAsia="微软雅黑"/>
          <w:szCs w:val="20"/>
        </w:rPr>
        <w:t>R</w:t>
      </w:r>
      <w:r>
        <w:rPr>
          <w:rFonts w:eastAsia="微软雅黑"/>
          <w:szCs w:val="20"/>
        </w:rPr>
        <w:t>egarding L3 based approach, the handover (HO) timeline can be summarized as follows:</w:t>
      </w:r>
    </w:p>
    <w:p>
      <w:pPr>
        <w:pStyle w:val="111"/>
        <w:numPr>
          <w:ilvl w:val="1"/>
          <w:numId w:val="7"/>
        </w:numPr>
        <w:snapToGrid w:val="0"/>
        <w:spacing w:before="120" w:after="120" w:afterLines="50" w:line="300" w:lineRule="auto"/>
        <w:ind w:firstLineChars="0"/>
        <w:jc w:val="both"/>
        <w:rPr>
          <w:rFonts w:eastAsia="微软雅黑"/>
          <w:szCs w:val="20"/>
          <w:lang w:eastAsia="en-US"/>
        </w:rPr>
      </w:pPr>
      <w:r>
        <w:rPr>
          <w:rFonts w:eastAsia="微软雅黑"/>
          <w:szCs w:val="20"/>
          <w:lang w:eastAsia="en-US"/>
        </w:rPr>
        <w:t xml:space="preserve">The UE detects that a target </w:t>
      </w:r>
      <w:r>
        <w:rPr>
          <w:rFonts w:eastAsia="微软雅黑"/>
          <w:szCs w:val="20"/>
        </w:rPr>
        <w:t xml:space="preserve">cell </w:t>
      </w:r>
      <w:r>
        <w:rPr>
          <w:rFonts w:eastAsia="微软雅黑"/>
          <w:szCs w:val="20"/>
          <w:lang w:eastAsia="en-US"/>
        </w:rPr>
        <w:t xml:space="preserve">becomes better than </w:t>
      </w:r>
      <w:r>
        <w:rPr>
          <w:rFonts w:eastAsia="微软雅黑"/>
          <w:szCs w:val="20"/>
        </w:rPr>
        <w:t>serving cell</w:t>
      </w:r>
      <w:r>
        <w:rPr>
          <w:rFonts w:eastAsia="微软雅黑"/>
          <w:szCs w:val="20"/>
          <w:lang w:eastAsia="en-US"/>
        </w:rPr>
        <w:t>, with an additional offset from the HO margin (e.g. 3dB)</w:t>
      </w:r>
    </w:p>
    <w:p>
      <w:pPr>
        <w:pStyle w:val="111"/>
        <w:numPr>
          <w:ilvl w:val="1"/>
          <w:numId w:val="7"/>
        </w:numPr>
        <w:snapToGrid w:val="0"/>
        <w:spacing w:before="120" w:after="120" w:afterLines="50" w:line="300" w:lineRule="auto"/>
        <w:ind w:firstLineChars="0"/>
        <w:jc w:val="both"/>
        <w:rPr>
          <w:rFonts w:eastAsia="微软雅黑"/>
          <w:szCs w:val="20"/>
          <w:lang w:eastAsia="en-US"/>
        </w:rPr>
      </w:pPr>
      <w:r>
        <w:rPr>
          <w:rFonts w:eastAsia="微软雅黑"/>
          <w:szCs w:val="20"/>
          <w:lang w:eastAsia="en-US"/>
        </w:rPr>
        <w:t>After U[1.0s,</w:t>
      </w:r>
      <w:r>
        <w:rPr>
          <w:rFonts w:eastAsia="微软雅黑"/>
          <w:szCs w:val="20"/>
        </w:rPr>
        <w:t xml:space="preserve"> </w:t>
      </w:r>
      <w:r>
        <w:rPr>
          <w:rFonts w:eastAsia="微软雅黑"/>
          <w:szCs w:val="20"/>
          <w:lang w:eastAsia="en-US"/>
        </w:rPr>
        <w:t xml:space="preserve">1.5s], the UE stops communicating with </w:t>
      </w:r>
      <w:r>
        <w:rPr>
          <w:rFonts w:eastAsia="微软雅黑"/>
          <w:szCs w:val="20"/>
        </w:rPr>
        <w:t>serving cell</w:t>
      </w:r>
    </w:p>
    <w:p>
      <w:pPr>
        <w:pStyle w:val="111"/>
        <w:numPr>
          <w:ilvl w:val="1"/>
          <w:numId w:val="7"/>
        </w:numPr>
        <w:snapToGrid w:val="0"/>
        <w:spacing w:before="120" w:after="120" w:afterLines="50" w:line="300" w:lineRule="auto"/>
        <w:ind w:firstLineChars="0"/>
        <w:jc w:val="both"/>
        <w:rPr>
          <w:rFonts w:eastAsia="微软雅黑"/>
          <w:szCs w:val="20"/>
        </w:rPr>
      </w:pPr>
      <w:r>
        <w:rPr>
          <w:rFonts w:eastAsia="微软雅黑"/>
          <w:szCs w:val="20"/>
        </w:rPr>
        <w:t>After another 80ms interruption, the UE starts communicating with target cell. It is assumed that the best TX/RX beam is used at this point.</w:t>
      </w:r>
    </w:p>
    <w:p>
      <w:pPr>
        <w:pStyle w:val="111"/>
        <w:numPr>
          <w:ilvl w:val="0"/>
          <w:numId w:val="7"/>
        </w:numPr>
        <w:snapToGrid w:val="0"/>
        <w:spacing w:before="120" w:after="120" w:afterLines="50" w:line="300" w:lineRule="auto"/>
        <w:ind w:firstLineChars="0"/>
        <w:jc w:val="both"/>
        <w:rPr>
          <w:rFonts w:eastAsia="微软雅黑"/>
          <w:szCs w:val="20"/>
        </w:rPr>
      </w:pPr>
      <w:r>
        <w:rPr>
          <w:rFonts w:hint="eastAsia" w:eastAsia="微软雅黑"/>
          <w:szCs w:val="20"/>
        </w:rPr>
        <w:t>R</w:t>
      </w:r>
      <w:r>
        <w:rPr>
          <w:rFonts w:eastAsia="微软雅黑"/>
          <w:szCs w:val="20"/>
        </w:rPr>
        <w:t>egarding L1/L2-based approach, inter-cell handover is assumed the same as beam switching due to RRH/TRP switching, e.g., the latency of inter-cell handover is 0ms.</w:t>
      </w:r>
    </w:p>
    <w:p>
      <w:pPr>
        <w:pStyle w:val="111"/>
        <w:snapToGrid w:val="0"/>
        <w:spacing w:before="120" w:after="120" w:afterLines="50" w:line="300" w:lineRule="auto"/>
        <w:ind w:left="360" w:firstLine="0" w:firstLineChars="0"/>
        <w:jc w:val="center"/>
      </w:pPr>
      <w:r>
        <w:object>
          <v:shape id="_x0000_i1030" o:spt="75" type="#_x0000_t75" style="height:194pt;width:434.5pt;" o:ole="t" filled="f" o:preferrelative="t" stroked="f" coordsize="21600,21600">
            <v:path/>
            <v:fill on="f" focussize="0,0"/>
            <v:stroke on="f" joinstyle="miter"/>
            <v:imagedata r:id="rId17" o:title=""/>
            <o:lock v:ext="edit" aspectratio="t"/>
            <w10:wrap type="none"/>
            <w10:anchorlock/>
          </v:shape>
          <o:OLEObject Type="Embed" ProgID="Visio.Drawing.11" ShapeID="_x0000_i1030" DrawAspect="Content" ObjectID="_1468075730" r:id="rId16">
            <o:LockedField>false</o:LockedField>
          </o:OLEObject>
        </w:object>
      </w:r>
    </w:p>
    <w:p>
      <w:pPr>
        <w:pStyle w:val="111"/>
        <w:overflowPunct w:val="0"/>
        <w:autoSpaceDE w:val="0"/>
        <w:autoSpaceDN w:val="0"/>
        <w:adjustRightInd w:val="0"/>
        <w:snapToGrid w:val="0"/>
        <w:spacing w:before="120" w:beforeLines="50" w:after="120" w:line="300" w:lineRule="auto"/>
        <w:ind w:left="360" w:firstLine="0" w:firstLineChars="0"/>
        <w:jc w:val="center"/>
        <w:textAlignment w:val="baseline"/>
        <w:rPr>
          <w:szCs w:val="20"/>
        </w:rPr>
      </w:pPr>
      <w:r>
        <w:rPr>
          <w:rFonts w:hint="eastAsia"/>
          <w:b/>
          <w:szCs w:val="20"/>
        </w:rPr>
        <w:t>Fig</w:t>
      </w:r>
      <w:r>
        <w:rPr>
          <w:b/>
          <w:szCs w:val="20"/>
        </w:rPr>
        <w:t>ure</w:t>
      </w:r>
      <w:r>
        <w:rPr>
          <w:rFonts w:hint="eastAsia"/>
          <w:b/>
          <w:szCs w:val="20"/>
        </w:rPr>
        <w:t xml:space="preserve"> </w:t>
      </w:r>
      <w:r>
        <w:rPr>
          <w:rFonts w:hint="eastAsia" w:eastAsia="宋体"/>
          <w:b/>
          <w:szCs w:val="20"/>
        </w:rPr>
        <w:t>7</w:t>
      </w:r>
      <w:r>
        <w:rPr>
          <w:rFonts w:hint="eastAsia"/>
          <w:szCs w:val="20"/>
        </w:rPr>
        <w:t xml:space="preserve"> </w:t>
      </w:r>
      <w:r>
        <w:rPr>
          <w:szCs w:val="20"/>
        </w:rPr>
        <w:t>Intra-cell mobility in high-speed train (HST) scenario</w:t>
      </w:r>
    </w:p>
    <w:p>
      <w:pPr>
        <w:snapToGrid w:val="0"/>
        <w:spacing w:before="120" w:after="120" w:afterLines="50" w:line="300" w:lineRule="auto"/>
        <w:jc w:val="both"/>
        <w:rPr>
          <w:rFonts w:eastAsia="微软雅黑"/>
          <w:szCs w:val="20"/>
        </w:rPr>
      </w:pPr>
      <w:r>
        <w:rPr>
          <w:rFonts w:eastAsia="微软雅黑"/>
          <w:szCs w:val="20"/>
          <w:lang w:val="en-GB"/>
        </w:rPr>
        <w:t xml:space="preserve">The real-time SLS simulation results for L1/L2 and L3 mobility in the HST scenario are provided in Figure </w:t>
      </w:r>
      <w:r>
        <w:rPr>
          <w:rFonts w:hint="eastAsia" w:eastAsia="微软雅黑"/>
          <w:szCs w:val="20"/>
        </w:rPr>
        <w:t>8</w:t>
      </w:r>
      <w:r>
        <w:rPr>
          <w:rFonts w:eastAsia="微软雅黑"/>
          <w:szCs w:val="20"/>
          <w:lang w:val="en-GB"/>
        </w:rPr>
        <w:t xml:space="preserve">. It can be observed that, for L3 mobility, there is around 1s latency compared with L1/L2 handover procedure. As a result, it can be observed that from 0.6s to 2.2s, there is severe degradation of RSRP and corresponding throughput for L3 mobility. Meanwhile there is an outage of 80 ms at 2.2s. In contrast, for L1/L2 mobility, there is a seamless HO between two neighbouring cell and the UE can experience the significant throughput increase when it is close to RRH4, e.g., from 0.6s to 1.1s. </w:t>
      </w:r>
    </w:p>
    <w:p>
      <w:pPr>
        <w:snapToGrid w:val="0"/>
        <w:spacing w:before="120" w:after="120" w:afterLines="50" w:line="300" w:lineRule="auto"/>
        <w:jc w:val="center"/>
        <w:rPr>
          <w:rFonts w:eastAsia="微软雅黑"/>
          <w:szCs w:val="20"/>
        </w:rPr>
      </w:pPr>
      <w:r>
        <w:rPr>
          <w:rFonts w:eastAsia="微软雅黑"/>
          <w:szCs w:val="20"/>
        </w:rPr>
        <w:drawing>
          <wp:inline distT="0" distB="0" distL="0" distR="0">
            <wp:extent cx="3937000" cy="409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rcRect r="32143" b="33445"/>
                    <a:stretch>
                      <a:fillRect/>
                    </a:stretch>
                  </pic:blipFill>
                  <pic:spPr>
                    <a:xfrm>
                      <a:off x="0" y="0"/>
                      <a:ext cx="3940824" cy="4099839"/>
                    </a:xfrm>
                    <a:prstGeom prst="rect">
                      <a:avLst/>
                    </a:prstGeom>
                    <a:noFill/>
                    <a:ln>
                      <a:noFill/>
                    </a:ln>
                  </pic:spPr>
                </pic:pic>
              </a:graphicData>
            </a:graphic>
          </wp:inline>
        </w:drawing>
      </w:r>
    </w:p>
    <w:p>
      <w:pPr>
        <w:overflowPunct w:val="0"/>
        <w:autoSpaceDE w:val="0"/>
        <w:autoSpaceDN w:val="0"/>
        <w:adjustRightInd w:val="0"/>
        <w:snapToGrid w:val="0"/>
        <w:spacing w:before="120" w:beforeLines="50" w:after="120" w:line="300" w:lineRule="auto"/>
        <w:jc w:val="center"/>
        <w:textAlignment w:val="baseline"/>
        <w:rPr>
          <w:rFonts w:eastAsia="微软雅黑"/>
          <w:szCs w:val="20"/>
        </w:rPr>
      </w:pPr>
      <w:r>
        <w:rPr>
          <w:rFonts w:hint="eastAsia"/>
          <w:b/>
          <w:szCs w:val="20"/>
        </w:rPr>
        <w:t>Fig</w:t>
      </w:r>
      <w:r>
        <w:rPr>
          <w:b/>
          <w:szCs w:val="20"/>
        </w:rPr>
        <w:t>ure</w:t>
      </w:r>
      <w:r>
        <w:rPr>
          <w:rFonts w:hint="eastAsia"/>
          <w:b/>
          <w:szCs w:val="20"/>
        </w:rPr>
        <w:t xml:space="preserve"> </w:t>
      </w:r>
      <w:r>
        <w:rPr>
          <w:rFonts w:hint="eastAsia" w:eastAsia="宋体"/>
          <w:b/>
          <w:szCs w:val="20"/>
        </w:rPr>
        <w:t>8</w:t>
      </w:r>
      <w:r>
        <w:rPr>
          <w:rFonts w:hint="eastAsia"/>
          <w:szCs w:val="20"/>
        </w:rPr>
        <w:t xml:space="preserve"> </w:t>
      </w:r>
      <w:r>
        <w:rPr>
          <w:szCs w:val="20"/>
        </w:rPr>
        <w:t>SLS results for high-speed train (HST) scenario as a function of time: (a) RSRP, (b) UPT from N</w:t>
      </w:r>
      <w:r>
        <w:rPr>
          <w:rFonts w:eastAsia="微软雅黑"/>
          <w:szCs w:val="20"/>
        </w:rPr>
        <w:t xml:space="preserve"> to Q </w:t>
      </w:r>
    </w:p>
    <w:p>
      <w:pPr>
        <w:snapToGrid w:val="0"/>
        <w:spacing w:before="120" w:after="120" w:afterLines="50" w:line="300" w:lineRule="auto"/>
        <w:jc w:val="both"/>
        <w:rPr>
          <w:rFonts w:eastAsiaTheme="minorEastAsia"/>
          <w:szCs w:val="20"/>
        </w:rPr>
      </w:pPr>
      <w:r>
        <w:rPr>
          <w:rFonts w:eastAsia="微软雅黑"/>
          <w:szCs w:val="20"/>
          <w:lang w:val="en-GB"/>
        </w:rPr>
        <w:t>Besides, SLS results for UPT and outage from N to Q in the high-speed train (HST) scenario is summarized in Table 2. It can be observed that compared with L3 mobility, the outage of HO can be reduced by L1/L2 mobility, and meanwhile there is significant throughput gain, especially for 95%-tile UE (+66.1%).</w:t>
      </w:r>
    </w:p>
    <w:p>
      <w:pPr>
        <w:snapToGrid w:val="0"/>
        <w:spacing w:before="120" w:after="120" w:afterLines="50"/>
        <w:jc w:val="center"/>
        <w:rPr>
          <w:rFonts w:eastAsia="微软雅黑"/>
          <w:szCs w:val="20"/>
          <w:lang w:val="en-GB"/>
        </w:rPr>
      </w:pPr>
      <w:r>
        <w:rPr>
          <w:rFonts w:eastAsia="微软雅黑"/>
          <w:b/>
          <w:szCs w:val="20"/>
          <w:lang w:val="en-GB"/>
        </w:rPr>
        <w:t>Table 2</w:t>
      </w:r>
      <w:r>
        <w:rPr>
          <w:rFonts w:hint="eastAsia" w:eastAsia="微软雅黑"/>
          <w:szCs w:val="20"/>
          <w:lang w:val="en-GB"/>
        </w:rPr>
        <w:tab/>
      </w:r>
      <w:r>
        <w:rPr>
          <w:rFonts w:eastAsia="微软雅黑"/>
          <w:szCs w:val="20"/>
          <w:lang w:val="en-GB"/>
        </w:rPr>
        <w:t xml:space="preserve">SLS results for L1/L2 and L3 mobility from N to Q in </w:t>
      </w:r>
      <w:r>
        <w:rPr>
          <w:szCs w:val="20"/>
        </w:rPr>
        <w:t>high-speed train (HST) scenario</w:t>
      </w:r>
    </w:p>
    <w:tbl>
      <w:tblPr>
        <w:tblStyle w:val="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47"/>
        <w:gridCol w:w="1843"/>
        <w:gridCol w:w="1842"/>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47" w:type="dxa"/>
          </w:tcPr>
          <w:p>
            <w:pPr>
              <w:spacing w:before="120" w:beforeLines="50" w:after="120" w:afterLines="50"/>
              <w:jc w:val="center"/>
              <w:textAlignment w:val="center"/>
              <w:rPr>
                <w:szCs w:val="20"/>
                <w:lang w:val="en-GB"/>
              </w:rPr>
            </w:pPr>
            <w:r>
              <w:rPr>
                <w:rFonts w:hint="eastAsia"/>
                <w:szCs w:val="20"/>
                <w:lang w:val="en-GB"/>
              </w:rPr>
              <w:t>U</w:t>
            </w:r>
            <w:r>
              <w:rPr>
                <w:szCs w:val="20"/>
                <w:lang w:val="en-GB"/>
              </w:rPr>
              <w:t>PT (Mbps)</w:t>
            </w:r>
          </w:p>
        </w:tc>
        <w:tc>
          <w:tcPr>
            <w:tcW w:w="1843" w:type="dxa"/>
          </w:tcPr>
          <w:p>
            <w:pPr>
              <w:spacing w:before="120" w:beforeLines="50" w:after="120" w:afterLines="50"/>
              <w:jc w:val="center"/>
              <w:textAlignment w:val="center"/>
              <w:rPr>
                <w:szCs w:val="20"/>
                <w:lang w:val="en-GB"/>
              </w:rPr>
            </w:pPr>
            <w:r>
              <w:rPr>
                <w:szCs w:val="20"/>
                <w:lang w:val="en-GB"/>
              </w:rPr>
              <w:t xml:space="preserve"> Mean</w:t>
            </w:r>
          </w:p>
        </w:tc>
        <w:tc>
          <w:tcPr>
            <w:tcW w:w="1842" w:type="dxa"/>
          </w:tcPr>
          <w:p>
            <w:pPr>
              <w:spacing w:before="120" w:beforeLines="50" w:after="120" w:afterLines="50"/>
              <w:jc w:val="center"/>
              <w:textAlignment w:val="center"/>
              <w:rPr>
                <w:szCs w:val="20"/>
                <w:lang w:val="en-GB"/>
              </w:rPr>
            </w:pPr>
            <w:r>
              <w:rPr>
                <w:szCs w:val="20"/>
                <w:lang w:val="en-GB"/>
              </w:rPr>
              <w:t>Outage</w:t>
            </w:r>
          </w:p>
        </w:tc>
        <w:tc>
          <w:tcPr>
            <w:tcW w:w="1985" w:type="dxa"/>
          </w:tcPr>
          <w:p>
            <w:pPr>
              <w:spacing w:before="120" w:beforeLines="50" w:after="120" w:afterLines="50"/>
              <w:jc w:val="center"/>
              <w:textAlignment w:val="center"/>
              <w:rPr>
                <w:szCs w:val="20"/>
                <w:lang w:val="en-GB"/>
              </w:rPr>
            </w:pPr>
            <w:r>
              <w:rPr>
                <w:szCs w:val="20"/>
                <w:lang w:val="en-GB"/>
              </w:rPr>
              <w:t>95%-tile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47" w:type="dxa"/>
          </w:tcPr>
          <w:p>
            <w:pPr>
              <w:spacing w:before="120" w:beforeLines="50" w:after="120" w:afterLines="50"/>
              <w:jc w:val="center"/>
              <w:textAlignment w:val="center"/>
              <w:rPr>
                <w:szCs w:val="20"/>
                <w:lang w:val="en-GB"/>
              </w:rPr>
            </w:pPr>
            <w:r>
              <w:rPr>
                <w:szCs w:val="20"/>
                <w:lang w:val="en-GB"/>
              </w:rPr>
              <w:t>L3 mobility</w:t>
            </w:r>
          </w:p>
        </w:tc>
        <w:tc>
          <w:tcPr>
            <w:tcW w:w="1843" w:type="dxa"/>
          </w:tcPr>
          <w:p>
            <w:pPr>
              <w:spacing w:before="120" w:beforeLines="50" w:after="120" w:afterLines="50"/>
              <w:jc w:val="center"/>
              <w:textAlignment w:val="center"/>
              <w:rPr>
                <w:rFonts w:eastAsiaTheme="minorEastAsia"/>
                <w:szCs w:val="20"/>
                <w:lang w:val="en-GB"/>
              </w:rPr>
            </w:pPr>
            <w:r>
              <w:rPr>
                <w:rFonts w:eastAsiaTheme="minorEastAsia"/>
                <w:szCs w:val="20"/>
                <w:lang w:val="en-GB"/>
              </w:rPr>
              <w:t xml:space="preserve">521.0 </w:t>
            </w:r>
          </w:p>
          <w:p>
            <w:pPr>
              <w:spacing w:before="120" w:beforeLines="50" w:after="120" w:afterLines="5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c>
          <w:tcPr>
            <w:tcW w:w="1842" w:type="dxa"/>
          </w:tcPr>
          <w:p>
            <w:pPr>
              <w:spacing w:before="120" w:beforeLines="50" w:after="120" w:afterLines="50"/>
              <w:jc w:val="center"/>
              <w:textAlignment w:val="center"/>
              <w:rPr>
                <w:rFonts w:eastAsiaTheme="minorEastAsia"/>
                <w:szCs w:val="20"/>
                <w:lang w:val="en-GB"/>
              </w:rPr>
            </w:pPr>
            <w:r>
              <w:rPr>
                <w:rFonts w:hint="eastAsia" w:eastAsiaTheme="minorEastAsia"/>
                <w:szCs w:val="20"/>
                <w:lang w:val="en-GB"/>
              </w:rPr>
              <w:t>8</w:t>
            </w:r>
            <w:r>
              <w:rPr>
                <w:rFonts w:eastAsiaTheme="minorEastAsia"/>
                <w:szCs w:val="20"/>
                <w:lang w:val="en-GB"/>
              </w:rPr>
              <w:t>0 ms</w:t>
            </w:r>
          </w:p>
        </w:tc>
        <w:tc>
          <w:tcPr>
            <w:tcW w:w="1985" w:type="dxa"/>
          </w:tcPr>
          <w:p>
            <w:pPr>
              <w:spacing w:before="120" w:beforeLines="50" w:after="120" w:afterLines="50"/>
              <w:jc w:val="center"/>
              <w:textAlignment w:val="center"/>
              <w:rPr>
                <w:rFonts w:eastAsiaTheme="minorEastAsia"/>
                <w:szCs w:val="20"/>
                <w:lang w:val="en-GB"/>
              </w:rPr>
            </w:pPr>
            <w:r>
              <w:rPr>
                <w:szCs w:val="20"/>
                <w:lang w:val="en-GB"/>
              </w:rPr>
              <w:t>561.9</w:t>
            </w:r>
          </w:p>
          <w:p>
            <w:pPr>
              <w:spacing w:before="120" w:beforeLines="50" w:after="120" w:afterLines="50"/>
              <w:jc w:val="center"/>
              <w:textAlignment w:val="center"/>
              <w:rPr>
                <w:szCs w:val="20"/>
                <w:lang w:val="en-GB"/>
              </w:rPr>
            </w:pPr>
            <w:r>
              <w:rPr>
                <w:rFonts w:hint="eastAsia"/>
                <w:szCs w:val="20"/>
                <w:lang w:val="en-GB"/>
              </w:rPr>
              <w:t>(</w:t>
            </w:r>
            <w:r>
              <w:rPr>
                <w:szCs w:val="20"/>
                <w:lang w:val="en-GB"/>
              </w:rPr>
              <w:t>100%</w:t>
            </w:r>
            <w:r>
              <w:rPr>
                <w:rFonts w:hint="eastAsia"/>
                <w:szCs w:val="20"/>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47" w:type="dxa"/>
          </w:tcPr>
          <w:p>
            <w:pPr>
              <w:spacing w:before="120" w:beforeLines="50" w:after="120" w:afterLines="50"/>
              <w:jc w:val="center"/>
              <w:textAlignment w:val="center"/>
              <w:rPr>
                <w:szCs w:val="20"/>
                <w:lang w:val="en-GB"/>
              </w:rPr>
            </w:pPr>
            <w:r>
              <w:rPr>
                <w:szCs w:val="20"/>
                <w:lang w:val="en-GB"/>
              </w:rPr>
              <w:t>L1/L2 mobility</w:t>
            </w:r>
          </w:p>
        </w:tc>
        <w:tc>
          <w:tcPr>
            <w:tcW w:w="1843" w:type="dxa"/>
          </w:tcPr>
          <w:p>
            <w:pPr>
              <w:spacing w:before="120" w:beforeLines="50" w:after="120" w:afterLines="50"/>
              <w:jc w:val="center"/>
              <w:textAlignment w:val="center"/>
              <w:rPr>
                <w:szCs w:val="20"/>
                <w:lang w:val="en-GB"/>
              </w:rPr>
            </w:pPr>
            <w:r>
              <w:rPr>
                <w:rFonts w:hint="eastAsia" w:eastAsiaTheme="minorEastAsia"/>
                <w:szCs w:val="20"/>
                <w:lang w:val="en-GB"/>
              </w:rPr>
              <w:t>5</w:t>
            </w:r>
            <w:r>
              <w:rPr>
                <w:rFonts w:eastAsiaTheme="minorEastAsia"/>
                <w:szCs w:val="20"/>
                <w:lang w:val="en-GB"/>
              </w:rPr>
              <w:t>68.5</w:t>
            </w:r>
          </w:p>
          <w:p>
            <w:pPr>
              <w:spacing w:before="120" w:beforeLines="50" w:after="120" w:afterLines="50"/>
              <w:jc w:val="center"/>
              <w:textAlignment w:val="center"/>
              <w:rPr>
                <w:szCs w:val="20"/>
                <w:lang w:val="en-GB"/>
              </w:rPr>
            </w:pPr>
            <w:r>
              <w:rPr>
                <w:szCs w:val="20"/>
                <w:lang w:val="en-GB"/>
              </w:rPr>
              <w:t>(</w:t>
            </w:r>
            <w:r>
              <w:rPr>
                <w:color w:val="FF0000"/>
                <w:szCs w:val="20"/>
                <w:lang w:val="en-GB"/>
              </w:rPr>
              <w:t>+9.12%↑</w:t>
            </w:r>
            <w:r>
              <w:rPr>
                <w:szCs w:val="20"/>
                <w:lang w:val="en-GB"/>
              </w:rPr>
              <w:t>)</w:t>
            </w:r>
          </w:p>
        </w:tc>
        <w:tc>
          <w:tcPr>
            <w:tcW w:w="1842" w:type="dxa"/>
          </w:tcPr>
          <w:p>
            <w:pPr>
              <w:spacing w:before="120" w:beforeLines="50" w:after="120" w:afterLines="50"/>
              <w:jc w:val="center"/>
              <w:textAlignment w:val="center"/>
              <w:rPr>
                <w:rFonts w:eastAsiaTheme="minorEastAsia"/>
                <w:szCs w:val="20"/>
                <w:lang w:val="en-GB"/>
              </w:rPr>
            </w:pPr>
            <w:r>
              <w:rPr>
                <w:szCs w:val="20"/>
                <w:lang w:val="en-GB"/>
              </w:rPr>
              <w:t>0 ms</w:t>
            </w:r>
          </w:p>
        </w:tc>
        <w:tc>
          <w:tcPr>
            <w:tcW w:w="1985" w:type="dxa"/>
          </w:tcPr>
          <w:p>
            <w:pPr>
              <w:spacing w:before="120" w:beforeLines="50" w:after="120" w:afterLines="50"/>
              <w:jc w:val="center"/>
              <w:textAlignment w:val="center"/>
              <w:rPr>
                <w:szCs w:val="20"/>
                <w:lang w:val="en-GB"/>
              </w:rPr>
            </w:pPr>
            <w:r>
              <w:rPr>
                <w:szCs w:val="20"/>
                <w:lang w:val="en-GB"/>
              </w:rPr>
              <w:t>933.2</w:t>
            </w:r>
          </w:p>
          <w:p>
            <w:pPr>
              <w:spacing w:before="120" w:beforeLines="50" w:after="120" w:afterLines="50"/>
              <w:jc w:val="center"/>
              <w:textAlignment w:val="center"/>
              <w:rPr>
                <w:szCs w:val="20"/>
                <w:lang w:val="en-GB"/>
              </w:rPr>
            </w:pPr>
            <w:r>
              <w:rPr>
                <w:szCs w:val="20"/>
                <w:lang w:val="en-GB"/>
              </w:rPr>
              <w:t>(</w:t>
            </w:r>
            <w:r>
              <w:rPr>
                <w:color w:val="FF0000"/>
                <w:szCs w:val="20"/>
                <w:lang w:val="en-GB"/>
              </w:rPr>
              <w:t>+66.1%↑</w:t>
            </w:r>
            <w:r>
              <w:rPr>
                <w:szCs w:val="20"/>
                <w:lang w:val="en-GB"/>
              </w:rPr>
              <w:t>)</w:t>
            </w:r>
          </w:p>
        </w:tc>
      </w:tr>
    </w:tbl>
    <w:p>
      <w:pPr>
        <w:snapToGrid w:val="0"/>
        <w:spacing w:before="120" w:beforeLines="50" w:after="60" w:afterLines="25" w:line="300" w:lineRule="auto"/>
        <w:jc w:val="both"/>
        <w:rPr>
          <w:rFonts w:eastAsia="微软雅黑"/>
          <w:i/>
          <w:szCs w:val="20"/>
        </w:rPr>
      </w:pPr>
      <w:r>
        <w:rPr>
          <w:rFonts w:eastAsia="宋体"/>
          <w:b/>
          <w:bCs/>
          <w:i/>
          <w:iCs/>
        </w:rPr>
        <w:t xml:space="preserve">Observation 3: </w:t>
      </w:r>
      <w:r>
        <w:rPr>
          <w:rFonts w:eastAsia="微软雅黑"/>
          <w:i/>
          <w:szCs w:val="20"/>
        </w:rPr>
        <w:t xml:space="preserve">From SLS evaluation results for inter-cell high mobility in HST scenario, it can be observed that </w:t>
      </w:r>
    </w:p>
    <w:p>
      <w:pPr>
        <w:pStyle w:val="109"/>
        <w:numPr>
          <w:ilvl w:val="0"/>
          <w:numId w:val="7"/>
        </w:numPr>
        <w:snapToGrid w:val="0"/>
        <w:spacing w:before="60" w:beforeLines="25" w:after="60" w:afterLines="25" w:line="300" w:lineRule="auto"/>
        <w:ind w:firstLineChars="0"/>
        <w:jc w:val="both"/>
        <w:rPr>
          <w:rFonts w:eastAsia="微软雅黑"/>
          <w:i/>
          <w:szCs w:val="20"/>
        </w:rPr>
      </w:pPr>
      <w:r>
        <w:rPr>
          <w:rFonts w:eastAsia="微软雅黑"/>
          <w:i/>
          <w:szCs w:val="20"/>
        </w:rPr>
        <w:t>Severe outage, RSRP and throughput degradation for L3 mobility occur due to a long latency of L3 handover.</w:t>
      </w:r>
    </w:p>
    <w:p>
      <w:pPr>
        <w:pStyle w:val="109"/>
        <w:numPr>
          <w:ilvl w:val="0"/>
          <w:numId w:val="7"/>
        </w:numPr>
        <w:snapToGrid w:val="0"/>
        <w:spacing w:before="60" w:beforeLines="25" w:after="60" w:afterLines="25" w:line="300" w:lineRule="auto"/>
        <w:ind w:firstLineChars="0"/>
        <w:jc w:val="both"/>
        <w:rPr>
          <w:rFonts w:eastAsia="宋体"/>
          <w:b/>
          <w:bCs/>
          <w:kern w:val="2"/>
          <w:sz w:val="24"/>
          <w:szCs w:val="24"/>
        </w:rPr>
      </w:pPr>
      <w:r>
        <w:rPr>
          <w:rFonts w:eastAsia="微软雅黑"/>
          <w:i/>
          <w:szCs w:val="20"/>
        </w:rPr>
        <w:t>Introducing L1/L2-centric mobility to achieve DCI based beam switching between neighboring cell(s) can bring significant performance gain over L3 mobility.</w:t>
      </w:r>
    </w:p>
    <w:p>
      <w:pPr>
        <w:keepNext/>
        <w:widowControl w:val="0"/>
        <w:numPr>
          <w:ilvl w:val="0"/>
          <w:numId w:val="5"/>
        </w:numPr>
        <w:tabs>
          <w:tab w:val="left" w:pos="3686"/>
          <w:tab w:val="left" w:pos="4536"/>
        </w:tabs>
        <w:autoSpaceDE w:val="0"/>
        <w:autoSpaceDN w:val="0"/>
        <w:adjustRightIn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UL beam selection for UE with multiple panels (1b)</w:t>
      </w:r>
    </w:p>
    <w:p>
      <w:pPr>
        <w:overflowPunct w:val="0"/>
        <w:autoSpaceDE w:val="0"/>
        <w:autoSpaceDN w:val="0"/>
        <w:adjustRightInd w:val="0"/>
        <w:snapToGrid w:val="0"/>
        <w:spacing w:before="60" w:beforeLines="25" w:after="120" w:line="300" w:lineRule="auto"/>
        <w:jc w:val="both"/>
        <w:textAlignment w:val="baseline"/>
        <w:rPr>
          <w:rFonts w:eastAsia="宋体"/>
          <w:szCs w:val="20"/>
        </w:rPr>
      </w:pPr>
      <w:r>
        <w:rPr>
          <w:rFonts w:hint="eastAsia" w:eastAsia="宋体"/>
          <w:szCs w:val="20"/>
        </w:rPr>
        <w:t>In Rel-17, it should be enhanced to facilitate UL beam selection for UE</w:t>
      </w:r>
      <w:r>
        <w:rPr>
          <w:rFonts w:eastAsia="宋体"/>
          <w:szCs w:val="20"/>
        </w:rPr>
        <w:t>(</w:t>
      </w:r>
      <w:r>
        <w:rPr>
          <w:rFonts w:hint="eastAsia" w:eastAsia="宋体"/>
          <w:szCs w:val="20"/>
        </w:rPr>
        <w:t>s</w:t>
      </w:r>
      <w:r>
        <w:rPr>
          <w:rFonts w:eastAsia="宋体"/>
          <w:szCs w:val="20"/>
        </w:rPr>
        <w:t>)</w:t>
      </w:r>
      <w:r>
        <w:rPr>
          <w:rFonts w:hint="eastAsia" w:eastAsia="宋体"/>
          <w:szCs w:val="20"/>
        </w:rPr>
        <w:t xml:space="preserve"> equipped with multiple panels, considering UL coverage loss mitigation due to MPE, based on UL beam indication with the unified TCI framework for UL fast panel selection.</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 xml:space="preserve">Fast panel selection and antenna switching for UL transmission </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w:t>
      </w:r>
      <w:r>
        <w:rPr>
          <w:rFonts w:eastAsia="微软雅黑"/>
          <w:szCs w:val="20"/>
        </w:rPr>
        <w:t xml:space="preserve">n RAN1#103-e, the following agreements including the support of </w:t>
      </w:r>
      <w:r>
        <w:rPr>
          <w:rFonts w:cs="Times"/>
          <w:szCs w:val="20"/>
        </w:rPr>
        <w:t>UE-initiated UL panel selection/activation</w:t>
      </w:r>
      <w:r>
        <w:rPr>
          <w:rFonts w:eastAsia="微软雅黑"/>
          <w:szCs w:val="20"/>
        </w:rPr>
        <w:t xml:space="preserve"> were reached for facilitating UL panel selection. In this subsection, we discuss the potential enhancement on UE fast panel switching.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jc w:val="both"/>
              <w:rPr>
                <w:rFonts w:cs="Times"/>
                <w:b/>
                <w:bCs/>
                <w:szCs w:val="20"/>
                <w:u w:val="single"/>
              </w:rPr>
            </w:pPr>
            <w:r>
              <w:rPr>
                <w:rFonts w:cs="Times"/>
                <w:b/>
                <w:bCs/>
                <w:szCs w:val="20"/>
                <w:u w:val="single"/>
              </w:rPr>
              <w:t>Agreement</w:t>
            </w:r>
          </w:p>
          <w:p>
            <w:pPr>
              <w:snapToGrid w:val="0"/>
              <w:spacing w:after="0" w:line="240" w:lineRule="auto"/>
              <w:jc w:val="both"/>
              <w:rPr>
                <w:rFonts w:cs="Times"/>
                <w:szCs w:val="20"/>
              </w:rPr>
            </w:pPr>
            <w:r>
              <w:rPr>
                <w:rFonts w:cs="Times"/>
                <w:szCs w:val="20"/>
              </w:rPr>
              <w:t xml:space="preserve">In Rel-17 enhancement for facilitating fast </w:t>
            </w:r>
            <w:r>
              <w:rPr>
                <w:bCs/>
                <w:szCs w:val="20"/>
              </w:rPr>
              <w:t>uplink</w:t>
            </w:r>
            <w:r>
              <w:rPr>
                <w:rFonts w:cs="Times"/>
                <w:szCs w:val="20"/>
              </w:rPr>
              <w:t xml:space="preserve"> panel selection, the following use cases are assumed:</w:t>
            </w:r>
          </w:p>
          <w:p>
            <w:pPr>
              <w:pStyle w:val="111"/>
              <w:numPr>
                <w:ilvl w:val="0"/>
                <w:numId w:val="8"/>
              </w:numPr>
              <w:snapToGrid w:val="0"/>
              <w:spacing w:after="0" w:line="240" w:lineRule="auto"/>
              <w:ind w:firstLineChars="0"/>
              <w:jc w:val="both"/>
              <w:rPr>
                <w:rFonts w:cs="Times"/>
                <w:szCs w:val="20"/>
              </w:rPr>
            </w:pPr>
            <w:r>
              <w:rPr>
                <w:rFonts w:cs="Times"/>
              </w:rPr>
              <w:t>MPE mitigation</w:t>
            </w:r>
          </w:p>
          <w:p>
            <w:pPr>
              <w:pStyle w:val="111"/>
              <w:numPr>
                <w:ilvl w:val="0"/>
                <w:numId w:val="8"/>
              </w:numPr>
              <w:snapToGrid w:val="0"/>
              <w:spacing w:after="0" w:line="240" w:lineRule="auto"/>
              <w:ind w:firstLineChars="0"/>
              <w:jc w:val="both"/>
              <w:rPr>
                <w:rFonts w:cs="Times"/>
              </w:rPr>
            </w:pPr>
            <w:r>
              <w:rPr>
                <w:rFonts w:cs="Times"/>
              </w:rPr>
              <w:t>UE power saving</w:t>
            </w:r>
          </w:p>
          <w:p>
            <w:pPr>
              <w:pStyle w:val="111"/>
              <w:numPr>
                <w:ilvl w:val="0"/>
                <w:numId w:val="8"/>
              </w:numPr>
              <w:snapToGrid w:val="0"/>
              <w:spacing w:after="0" w:line="240" w:lineRule="auto"/>
              <w:ind w:firstLineChars="0"/>
              <w:jc w:val="both"/>
              <w:rPr>
                <w:rFonts w:cs="Times"/>
              </w:rPr>
            </w:pPr>
            <w:r>
              <w:rPr>
                <w:rFonts w:cs="Times"/>
              </w:rPr>
              <w:t>UL interference management</w:t>
            </w:r>
          </w:p>
          <w:p>
            <w:pPr>
              <w:pStyle w:val="111"/>
              <w:numPr>
                <w:ilvl w:val="0"/>
                <w:numId w:val="8"/>
              </w:numPr>
              <w:snapToGrid w:val="0"/>
              <w:spacing w:after="0" w:line="240" w:lineRule="auto"/>
              <w:ind w:firstLineChars="0"/>
              <w:jc w:val="both"/>
              <w:rPr>
                <w:rFonts w:cs="Times"/>
              </w:rPr>
            </w:pPr>
            <w:r>
              <w:rPr>
                <w:rFonts w:cs="Times"/>
              </w:rPr>
              <w:t>Support different configurations across panels</w:t>
            </w:r>
          </w:p>
          <w:p>
            <w:pPr>
              <w:pStyle w:val="111"/>
              <w:numPr>
                <w:ilvl w:val="0"/>
                <w:numId w:val="8"/>
              </w:numPr>
              <w:snapToGrid w:val="0"/>
              <w:spacing w:after="0" w:line="240" w:lineRule="auto"/>
              <w:ind w:firstLineChars="0"/>
              <w:jc w:val="both"/>
              <w:rPr>
                <w:rFonts w:cs="Times"/>
              </w:rPr>
            </w:pPr>
            <w:r>
              <w:rPr>
                <w:rFonts w:cs="Times"/>
              </w:rPr>
              <w:t xml:space="preserve">UL mTRP </w:t>
            </w:r>
          </w:p>
          <w:p>
            <w:pPr>
              <w:snapToGrid w:val="0"/>
              <w:spacing w:before="120" w:beforeLines="50" w:after="0"/>
              <w:jc w:val="both"/>
              <w:rPr>
                <w:rFonts w:cs="Times"/>
                <w:b/>
                <w:bCs/>
                <w:szCs w:val="20"/>
                <w:u w:val="single"/>
              </w:rPr>
            </w:pPr>
            <w:r>
              <w:rPr>
                <w:rFonts w:cs="Times"/>
                <w:b/>
                <w:bCs/>
                <w:szCs w:val="20"/>
                <w:u w:val="single"/>
              </w:rPr>
              <w:t>Agreement</w:t>
            </w:r>
          </w:p>
          <w:p>
            <w:pPr>
              <w:snapToGrid w:val="0"/>
              <w:spacing w:after="0" w:line="240" w:lineRule="auto"/>
              <w:jc w:val="both"/>
              <w:rPr>
                <w:rFonts w:cs="Times"/>
                <w:szCs w:val="20"/>
              </w:rPr>
            </w:pPr>
            <w:r>
              <w:rPr>
                <w:rFonts w:cs="Times"/>
                <w:szCs w:val="20"/>
              </w:rPr>
              <w:t xml:space="preserve">In Rel-17 enhancement on MP-UE to facilitate fast UL panel selection and MPE mitigation, UL Tx panel(s) are assumed to be a same set or subset </w:t>
            </w:r>
            <w:r>
              <w:rPr>
                <w:bCs/>
                <w:szCs w:val="20"/>
              </w:rPr>
              <w:t>of</w:t>
            </w:r>
            <w:r>
              <w:rPr>
                <w:rFonts w:cs="Times"/>
                <w:szCs w:val="20"/>
              </w:rPr>
              <w:t xml:space="preserve"> DL Rx panel(s)</w:t>
            </w:r>
          </w:p>
          <w:p>
            <w:pPr>
              <w:snapToGrid w:val="0"/>
              <w:spacing w:before="120" w:beforeLines="50" w:after="0"/>
              <w:jc w:val="both"/>
              <w:rPr>
                <w:rFonts w:cs="Times"/>
                <w:b/>
                <w:bCs/>
                <w:szCs w:val="20"/>
                <w:u w:val="single"/>
              </w:rPr>
            </w:pPr>
            <w:r>
              <w:rPr>
                <w:rFonts w:cs="Times"/>
                <w:b/>
                <w:bCs/>
                <w:szCs w:val="20"/>
                <w:u w:val="single"/>
              </w:rPr>
              <w:t>Agreement</w:t>
            </w:r>
          </w:p>
          <w:p>
            <w:pPr>
              <w:snapToGrid w:val="0"/>
              <w:spacing w:after="0" w:line="240" w:lineRule="auto"/>
              <w:jc w:val="both"/>
              <w:rPr>
                <w:rFonts w:cs="Times"/>
                <w:szCs w:val="20"/>
              </w:rPr>
            </w:pPr>
            <w:r>
              <w:rPr>
                <w:rFonts w:cs="Times"/>
                <w:szCs w:val="20"/>
              </w:rPr>
              <w:t xml:space="preserve">In Rel.17 enhancement for facilitating </w:t>
            </w:r>
            <w:r>
              <w:rPr>
                <w:bCs/>
                <w:szCs w:val="20"/>
              </w:rPr>
              <w:t>fast</w:t>
            </w:r>
            <w:r>
              <w:rPr>
                <w:rFonts w:cs="Times"/>
                <w:szCs w:val="20"/>
              </w:rPr>
              <w:t xml:space="preserve"> uplink panel selection, UE-initiated UL panel selection/activation are supported:</w:t>
            </w:r>
          </w:p>
          <w:p>
            <w:pPr>
              <w:pStyle w:val="111"/>
              <w:numPr>
                <w:ilvl w:val="0"/>
                <w:numId w:val="8"/>
              </w:numPr>
              <w:snapToGrid w:val="0"/>
              <w:spacing w:after="0" w:line="240" w:lineRule="auto"/>
              <w:ind w:firstLineChars="0"/>
              <w:jc w:val="both"/>
              <w:rPr>
                <w:rFonts w:cs="Times"/>
              </w:rPr>
            </w:pPr>
            <w:r>
              <w:rPr>
                <w:rFonts w:cs="Times"/>
              </w:rPr>
              <w:t>FFS: Whether NW-initiated panel selection/activation is also supported</w:t>
            </w:r>
          </w:p>
          <w:p>
            <w:pPr>
              <w:pStyle w:val="111"/>
              <w:numPr>
                <w:ilvl w:val="0"/>
                <w:numId w:val="8"/>
              </w:numPr>
              <w:snapToGrid w:val="0"/>
              <w:spacing w:after="120" w:afterLines="50" w:line="240" w:lineRule="auto"/>
              <w:ind w:left="714" w:hanging="357" w:firstLineChars="0"/>
              <w:jc w:val="both"/>
              <w:rPr>
                <w:rFonts w:eastAsiaTheme="minorEastAsia"/>
              </w:rPr>
            </w:pPr>
            <w:r>
              <w:rPr>
                <w:rFonts w:cs="Times"/>
              </w:rPr>
              <w:t>FFS: Whether specification support for this feature is necessary and if so the details of such spec support.</w:t>
            </w:r>
          </w:p>
        </w:tc>
      </w:tr>
    </w:tbl>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UE-initialized UL panel selection/activation</w:t>
      </w:r>
    </w:p>
    <w:p>
      <w:pPr>
        <w:overflowPunct w:val="0"/>
        <w:autoSpaceDE w:val="0"/>
        <w:autoSpaceDN w:val="0"/>
        <w:adjustRightInd w:val="0"/>
        <w:snapToGrid w:val="0"/>
        <w:spacing w:before="60" w:beforeLines="25" w:after="120" w:line="300" w:lineRule="auto"/>
        <w:jc w:val="both"/>
        <w:textAlignment w:val="baseline"/>
        <w:rPr>
          <w:szCs w:val="20"/>
        </w:rPr>
      </w:pPr>
      <w:r>
        <w:rPr>
          <w:rFonts w:eastAsia="微软雅黑"/>
          <w:szCs w:val="20"/>
        </w:rPr>
        <w:t xml:space="preserve">Regarding UE-initiated UL panel selection/activation, </w:t>
      </w:r>
      <w:r>
        <w:rPr>
          <w:szCs w:val="20"/>
        </w:rPr>
        <w:t xml:space="preserve">UE can also control the panel activation </w:t>
      </w:r>
      <w:r>
        <w:rPr>
          <w:szCs w:val="20"/>
          <w:lang w:val="en-GB"/>
        </w:rPr>
        <w:t>and</w:t>
      </w:r>
      <w:r>
        <w:rPr>
          <w:szCs w:val="20"/>
        </w:rPr>
        <w:t xml:space="preserve"> deactivation as a UE driven event, and, in order to guarantee panel indication </w:t>
      </w:r>
      <w:r>
        <w:rPr>
          <w:rFonts w:eastAsia="微软雅黑"/>
          <w:szCs w:val="20"/>
          <w:lang w:val="en-GB"/>
        </w:rPr>
        <w:t>for</w:t>
      </w:r>
      <w:r>
        <w:rPr>
          <w:szCs w:val="20"/>
        </w:rPr>
        <w:t xml:space="preserve"> UL transmission, the </w:t>
      </w:r>
      <w:r>
        <w:rPr>
          <w:rFonts w:eastAsia="宋体"/>
        </w:rPr>
        <w:t>state</w:t>
      </w:r>
      <w:r>
        <w:rPr>
          <w:szCs w:val="20"/>
        </w:rPr>
        <w:t xml:space="preserve"> of panel, e.g., active or inactive, to be used for DL/UL transmission should be reported through panel-specific </w:t>
      </w:r>
      <w:r>
        <w:rPr>
          <w:rFonts w:eastAsia="微软雅黑"/>
          <w:szCs w:val="20"/>
        </w:rPr>
        <w:t>reporting</w:t>
      </w:r>
      <w:r>
        <w:rPr>
          <w:szCs w:val="20"/>
        </w:rPr>
        <w:t xml:space="preserve"> to gNB side. </w:t>
      </w:r>
    </w:p>
    <w:p>
      <w:pPr>
        <w:pStyle w:val="111"/>
        <w:numPr>
          <w:ilvl w:val="0"/>
          <w:numId w:val="7"/>
        </w:numPr>
        <w:overflowPunct/>
        <w:autoSpaceDE/>
        <w:autoSpaceDN/>
        <w:adjustRightInd/>
        <w:snapToGrid w:val="0"/>
        <w:spacing w:before="120" w:beforeLines="-2147483648" w:after="120" w:afterLines="50" w:line="300" w:lineRule="auto"/>
        <w:ind w:left="360" w:hanging="360" w:firstLineChars="0"/>
        <w:jc w:val="both"/>
        <w:textAlignment w:val="auto"/>
        <w:rPr>
          <w:szCs w:val="20"/>
        </w:rPr>
      </w:pPr>
      <w:r>
        <w:rPr>
          <w:szCs w:val="20"/>
        </w:rPr>
        <w:t xml:space="preserve">As agreed above, </w:t>
      </w:r>
      <w:r>
        <w:rPr>
          <w:rFonts w:eastAsia="微软雅黑"/>
          <w:szCs w:val="20"/>
        </w:rPr>
        <w:t>UL</w:t>
      </w:r>
      <w:r>
        <w:rPr>
          <w:szCs w:val="20"/>
        </w:rPr>
        <w:t xml:space="preserve"> Tx panel(s) are assumed to be a same set or subset of DL Rx panel(s). Straightforwardly, a list of activated DL+UL and DL-only UE panel ID(s) can be reported by UE via group based reporting (i.e., panel-specific reporting as discussed in item 2-c), and the corresponding state of UE panel(s) can be reported together (e.g., a 1-bit flag to represent ‘DL+UL’ or ‘DL only’). </w:t>
      </w:r>
    </w:p>
    <w:p>
      <w:pPr>
        <w:pStyle w:val="111"/>
        <w:numPr>
          <w:ilvl w:val="0"/>
          <w:numId w:val="7"/>
        </w:numPr>
        <w:overflowPunct/>
        <w:autoSpaceDE/>
        <w:autoSpaceDN/>
        <w:adjustRightInd/>
        <w:snapToGrid w:val="0"/>
        <w:spacing w:before="120" w:beforeLines="-2147483648" w:after="120" w:afterLines="50" w:line="300" w:lineRule="auto"/>
        <w:ind w:left="360" w:hanging="360" w:firstLineChars="0"/>
        <w:jc w:val="both"/>
        <w:textAlignment w:val="auto"/>
        <w:rPr>
          <w:szCs w:val="20"/>
        </w:rPr>
      </w:pPr>
      <w:r>
        <w:rPr>
          <w:szCs w:val="20"/>
          <w:u w:val="single"/>
        </w:rPr>
        <w:t xml:space="preserve">Note that the maximum number of antenna groups and activated antenna groups are based on UE capability signaling, and the global ID for UE </w:t>
      </w:r>
      <w:r>
        <w:rPr>
          <w:rFonts w:eastAsia="微软雅黑"/>
          <w:szCs w:val="20"/>
          <w:u w:val="single"/>
        </w:rPr>
        <w:t>panel</w:t>
      </w:r>
      <w:r>
        <w:rPr>
          <w:szCs w:val="20"/>
          <w:u w:val="single"/>
        </w:rPr>
        <w:t xml:space="preserve">(s) is used for reporting and indication. </w:t>
      </w:r>
    </w:p>
    <w:p>
      <w:pPr>
        <w:pStyle w:val="111"/>
        <w:numPr>
          <w:ilvl w:val="1"/>
          <w:numId w:val="7"/>
        </w:numPr>
        <w:overflowPunct/>
        <w:autoSpaceDE/>
        <w:autoSpaceDN/>
        <w:adjustRightInd/>
        <w:snapToGrid w:val="0"/>
        <w:spacing w:before="120" w:beforeLines="-2147483648" w:after="120" w:afterLines="50" w:line="300" w:lineRule="auto"/>
        <w:ind w:left="840" w:hanging="420" w:firstLineChars="0"/>
        <w:jc w:val="both"/>
        <w:textAlignment w:val="auto"/>
        <w:rPr>
          <w:szCs w:val="20"/>
        </w:rPr>
      </w:pPr>
      <w:r>
        <w:rPr>
          <w:szCs w:val="20"/>
        </w:rPr>
        <w:t xml:space="preserve">For instance, a UE can report that it </w:t>
      </w:r>
      <w:r>
        <w:rPr>
          <w:rFonts w:eastAsia="微软雅黑"/>
          <w:szCs w:val="20"/>
          <w:lang w:eastAsia="en-US"/>
        </w:rPr>
        <w:t>supports</w:t>
      </w:r>
      <w:r>
        <w:rPr>
          <w:szCs w:val="20"/>
        </w:rPr>
        <w:t xml:space="preserve"> up to 3 UE panels, but only up to 2 UE panels can be activated for DL and UL transmission. Then, a global ID for UE panels, i.e., from 0 to 2, to be reported is used rather than a relative ID within the report.</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2</w:t>
      </w:r>
      <w:r>
        <w:rPr>
          <w:rFonts w:eastAsia="微软雅黑"/>
          <w:b/>
          <w:i/>
          <w:szCs w:val="20"/>
        </w:rPr>
        <w:t>:</w:t>
      </w:r>
      <w:r>
        <w:rPr>
          <w:rFonts w:hint="eastAsia" w:eastAsia="微软雅黑"/>
          <w:b/>
          <w:i/>
          <w:szCs w:val="20"/>
        </w:rPr>
        <w:t xml:space="preserve"> </w:t>
      </w:r>
      <w:r>
        <w:rPr>
          <w:rFonts w:eastAsia="微软雅黑"/>
          <w:i/>
          <w:szCs w:val="20"/>
        </w:rPr>
        <w:t>For UE-initialized UL panel selection/activation, information about state(s) of UE panel(s) can be reported along with panel-specific group based reporting.</w:t>
      </w:r>
    </w:p>
    <w:p>
      <w:pPr>
        <w:pStyle w:val="109"/>
        <w:numPr>
          <w:ilvl w:val="0"/>
          <w:numId w:val="7"/>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Candidate state(s) of UE panel(s) to be reported comprises active state for both DL and UL, active state for DL only;</w:t>
      </w:r>
    </w:p>
    <w:p>
      <w:pPr>
        <w:pStyle w:val="109"/>
        <w:numPr>
          <w:ilvl w:val="0"/>
          <w:numId w:val="7"/>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The maximum number of antenna groups and activated antenna groups are based on UE capability signaling, and the global ID for UE panel(s) is used for reporting and indication</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NW-initiated panel selection/activation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Besides UE-initialized UL panel selection/activation, NW-initiated panel selection/activation is also supported.</w:t>
      </w:r>
      <w:r>
        <w:rPr>
          <w:rFonts w:hint="eastAsia" w:eastAsia="微软雅黑"/>
          <w:szCs w:val="20"/>
        </w:rPr>
        <w:t xml:space="preserve"> </w:t>
      </w:r>
      <w:r>
        <w:rPr>
          <w:rFonts w:eastAsia="微软雅黑"/>
          <w:szCs w:val="20"/>
        </w:rPr>
        <w:t xml:space="preserve">Beam correspondence by downlink-uplink association is useful to reduce the effort on UL beam management. In our view, beam correspondence is also the major </w:t>
      </w:r>
      <w:r>
        <w:rPr>
          <w:rFonts w:eastAsia="微软雅黑"/>
          <w:szCs w:val="20"/>
          <w:lang w:val="en-GB"/>
        </w:rPr>
        <w:t>motivation</w:t>
      </w:r>
      <w:r>
        <w:rPr>
          <w:rFonts w:eastAsia="微软雅黑"/>
          <w:szCs w:val="20"/>
        </w:rPr>
        <w:t xml:space="preserve"> of introducing a new ID in a TCI state to represent a panel for supporting fast panel selection for UL transmission. Considering simultaneous transmission/reception among different RS(s)/channel(s), clear alignment between gNB and UE about which panel is used for transmitting or receiving RS(s)/channel(s) is very necessary. Otherwise, designing the rule of inter-panel or intra-panel beam collision that is essential for maximizing benefits of multi-panel operation seems to be very difficult. </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 xml:space="preserve">Consequently this “UE panel ID” should have association with DL RS to support beam correspondence. The “UE panel ID” can be selected and configured by gNB, according to UE capability signaling together </w:t>
      </w:r>
      <w:r>
        <w:rPr>
          <w:rFonts w:eastAsia="宋体"/>
        </w:rPr>
        <w:t>with</w:t>
      </w:r>
      <w:r>
        <w:rPr>
          <w:rFonts w:eastAsia="微软雅黑"/>
          <w:szCs w:val="20"/>
        </w:rPr>
        <w:t xml:space="preserve"> panel-specific beam reporting. </w:t>
      </w:r>
    </w:p>
    <w:p>
      <w:pPr>
        <w:pStyle w:val="109"/>
        <w:numPr>
          <w:ilvl w:val="0"/>
          <w:numId w:val="7"/>
        </w:numPr>
        <w:overflowPunct w:val="0"/>
        <w:autoSpaceDE w:val="0"/>
        <w:autoSpaceDN w:val="0"/>
        <w:adjustRightInd w:val="0"/>
        <w:snapToGrid w:val="0"/>
        <w:spacing w:before="60" w:beforeLines="25" w:after="120" w:line="300" w:lineRule="auto"/>
        <w:ind w:firstLineChars="0"/>
        <w:jc w:val="both"/>
        <w:textAlignment w:val="baseline"/>
        <w:rPr>
          <w:szCs w:val="20"/>
        </w:rPr>
      </w:pPr>
      <w:r>
        <w:rPr>
          <w:szCs w:val="20"/>
        </w:rPr>
        <w:t>A list of activated UE panel ID(s) can be reported by UE via group based reporting</w:t>
      </w:r>
    </w:p>
    <w:p>
      <w:pPr>
        <w:pStyle w:val="109"/>
        <w:numPr>
          <w:ilvl w:val="0"/>
          <w:numId w:val="7"/>
        </w:numPr>
        <w:overflowPunct w:val="0"/>
        <w:autoSpaceDE w:val="0"/>
        <w:autoSpaceDN w:val="0"/>
        <w:adjustRightInd w:val="0"/>
        <w:snapToGrid w:val="0"/>
        <w:spacing w:before="60" w:beforeLines="25" w:after="120" w:line="300" w:lineRule="auto"/>
        <w:ind w:firstLineChars="0"/>
        <w:jc w:val="both"/>
        <w:textAlignment w:val="baseline"/>
        <w:rPr>
          <w:szCs w:val="20"/>
        </w:rPr>
      </w:pPr>
      <w:r>
        <w:rPr>
          <w:szCs w:val="20"/>
        </w:rPr>
        <w:t>One out of activated panel(s) can be indicated for UL transmission using TCI by gNB.</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3</w:t>
      </w:r>
      <w:r>
        <w:rPr>
          <w:rFonts w:eastAsia="微软雅黑"/>
          <w:b/>
          <w:i/>
          <w:szCs w:val="20"/>
        </w:rPr>
        <w:t>:</w:t>
      </w:r>
      <w:r>
        <w:rPr>
          <w:rFonts w:hint="eastAsia" w:eastAsia="微软雅黑"/>
          <w:b/>
          <w:i/>
          <w:szCs w:val="20"/>
        </w:rPr>
        <w:t xml:space="preserve"> </w:t>
      </w:r>
      <w:r>
        <w:rPr>
          <w:i/>
          <w:szCs w:val="20"/>
        </w:rPr>
        <w:t>Besides UE-initiated UL panel selection/activation, NW-initiated panel selection/activation should also be supported.</w:t>
      </w:r>
    </w:p>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Inter-panel antenna switching</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Also, we need to consider the AP-SRS triggering with a large triggering offset for panel activation, which is similar to AP-CSI-RS beam switching in Rel-15, e.g., 224 or 336 OFDM symbols.</w:t>
      </w:r>
      <w:r>
        <w:rPr>
          <w:rFonts w:hint="eastAsia" w:eastAsia="微软雅黑"/>
          <w:szCs w:val="20"/>
        </w:rPr>
        <w:t xml:space="preserve"> </w:t>
      </w:r>
      <w:r>
        <w:rPr>
          <w:rFonts w:eastAsia="微软雅黑"/>
          <w:szCs w:val="20"/>
        </w:rPr>
        <w:t xml:space="preserve">In such case, the sounding procedure of antenna switching may be equivalent to that of fast panel switching. For instance, one example for inter-panel antenna switching is described in Figure </w:t>
      </w:r>
      <w:r>
        <w:rPr>
          <w:rFonts w:hint="eastAsia" w:eastAsia="微软雅黑"/>
          <w:szCs w:val="20"/>
        </w:rPr>
        <w:t>9</w:t>
      </w:r>
      <w:r>
        <w:rPr>
          <w:rFonts w:eastAsia="微软雅黑"/>
          <w:szCs w:val="20"/>
        </w:rPr>
        <w:t>. In such case, there may be different spatial relations applied to the respective UE panels, and the restriction about “same spatial relation for AP-SRS resources in a set for antenna switching” in the current spec may become invalid herein. It can be observed that the working assumption on the architecture of UE panels is very essential for the subsequent enhancement for fast UE panel switching.</w:t>
      </w:r>
    </w:p>
    <w:p>
      <w:pPr>
        <w:snapToGrid w:val="0"/>
        <w:spacing w:before="120" w:after="120" w:afterLines="50" w:line="240" w:lineRule="auto"/>
        <w:jc w:val="center"/>
        <w:rPr>
          <w:rFonts w:eastAsia="微软雅黑"/>
          <w:szCs w:val="20"/>
        </w:rPr>
      </w:pPr>
      <w:r>
        <w:object>
          <v:shape id="_x0000_i1031" o:spt="75" type="#_x0000_t75" style="height:132pt;width:223.5pt;" o:ole="t" filled="f" o:preferrelative="t" stroked="f" coordsize="21600,21600">
            <v:path/>
            <v:fill on="f" focussize="0,0"/>
            <v:stroke on="f" joinstyle="miter"/>
            <v:imagedata r:id="rId20" o:title=""/>
            <o:lock v:ext="edit" aspectratio="t"/>
            <w10:wrap type="none"/>
            <w10:anchorlock/>
          </v:shape>
          <o:OLEObject Type="Embed" ProgID="Visio.Drawing.11" ShapeID="_x0000_i1031" DrawAspect="Content" ObjectID="_1468075731" r:id="rId19">
            <o:LockedField>false</o:LockedField>
          </o:OLEObject>
        </w:object>
      </w:r>
    </w:p>
    <w:p>
      <w:pPr>
        <w:overflowPunct w:val="0"/>
        <w:autoSpaceDE w:val="0"/>
        <w:autoSpaceDN w:val="0"/>
        <w:adjustRightInd w:val="0"/>
        <w:snapToGrid w:val="0"/>
        <w:spacing w:before="120" w:beforeLines="5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hint="eastAsia" w:eastAsia="宋体"/>
          <w:b/>
          <w:szCs w:val="20"/>
        </w:rPr>
        <w:t>9</w:t>
      </w:r>
      <w:r>
        <w:rPr>
          <w:rFonts w:hint="eastAsia"/>
          <w:szCs w:val="20"/>
        </w:rPr>
        <w:t xml:space="preserve"> </w:t>
      </w:r>
      <w:r>
        <w:rPr>
          <w:szCs w:val="20"/>
        </w:rPr>
        <w:t>Diagram for inter-panel antenna switching</w:t>
      </w:r>
    </w:p>
    <w:p>
      <w:pPr>
        <w:numPr>
          <w:ilvl w:val="0"/>
          <w:numId w:val="0"/>
        </w:numPr>
        <w:snapToGrid w:val="0"/>
        <w:spacing w:before="60" w:beforeLines="25" w:after="60" w:afterLines="25" w:line="240" w:lineRule="auto"/>
        <w:ind w:left="0" w:firstLine="0"/>
        <w:jc w:val="both"/>
        <w:rPr>
          <w:rFonts w:eastAsia="微软雅黑"/>
          <w:i/>
          <w:szCs w:val="20"/>
        </w:rPr>
      </w:pPr>
      <w:r>
        <w:rPr>
          <w:rFonts w:eastAsia="微软雅黑"/>
          <w:b/>
          <w:i/>
          <w:szCs w:val="20"/>
        </w:rPr>
        <w:t>Proposal 1</w:t>
      </w:r>
      <w:r>
        <w:rPr>
          <w:rFonts w:hint="eastAsia" w:eastAsia="微软雅黑"/>
          <w:b/>
          <w:i/>
          <w:szCs w:val="20"/>
        </w:rPr>
        <w:t>4</w:t>
      </w:r>
      <w:r>
        <w:rPr>
          <w:rFonts w:eastAsia="微软雅黑"/>
          <w:b/>
          <w:i/>
          <w:szCs w:val="20"/>
        </w:rPr>
        <w:t>:</w:t>
      </w:r>
      <w:r>
        <w:rPr>
          <w:rFonts w:hint="eastAsia" w:eastAsia="微软雅黑"/>
          <w:b/>
          <w:i/>
          <w:szCs w:val="20"/>
        </w:rPr>
        <w:t xml:space="preserve"> </w:t>
      </w:r>
      <w:r>
        <w:rPr>
          <w:rFonts w:eastAsia="微软雅黑"/>
          <w:i/>
          <w:szCs w:val="20"/>
        </w:rPr>
        <w:t>Sounding procedure for antenna switching can be further studied for supporting UE fast panel switching.</w:t>
      </w:r>
    </w:p>
    <w:p>
      <w:pPr>
        <w:keepNext/>
        <w:keepLines/>
        <w:widowControl w:val="0"/>
        <w:numPr>
          <w:ilvl w:val="1"/>
          <w:numId w:val="5"/>
        </w:numPr>
        <w:autoSpaceDE w:val="0"/>
        <w:autoSpaceDN w:val="0"/>
        <w:adjustRightInd w:val="0"/>
        <w:spacing w:before="120" w:beforeLines="50" w:after="120" w:afterLines="50" w:line="240" w:lineRule="auto"/>
        <w:ind w:left="578" w:hanging="578"/>
        <w:outlineLvl w:val="1"/>
        <w:rPr>
          <w:rFonts w:eastAsia="宋体"/>
          <w:b/>
          <w:bCs/>
          <w:kern w:val="2"/>
          <w:sz w:val="24"/>
          <w:szCs w:val="24"/>
        </w:rPr>
      </w:pPr>
      <w:r>
        <w:rPr>
          <w:rFonts w:hint="eastAsia" w:eastAsia="宋体"/>
          <w:b/>
          <w:bCs/>
          <w:kern w:val="2"/>
          <w:sz w:val="24"/>
          <w:szCs w:val="24"/>
        </w:rPr>
        <w:t>FR2 MPE mitigation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hint="eastAsia" w:eastAsia="微软雅黑"/>
          <w:szCs w:val="20"/>
        </w:rPr>
        <w:t>I</w:t>
      </w:r>
      <w:r>
        <w:rPr>
          <w:rFonts w:eastAsia="微软雅黑"/>
          <w:szCs w:val="20"/>
        </w:rPr>
        <w:t>n RAN1#103-e meeting, the following agreement was reached for FR2 MPE mitigation.  In this subsection, we discuss the potential enhancement on FR2 MPE mitigation.</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contextualSpacing/>
              <w:rPr>
                <w:rFonts w:cs="Times"/>
                <w:b/>
                <w:bCs/>
                <w:szCs w:val="20"/>
                <w:u w:val="single"/>
              </w:rPr>
            </w:pPr>
            <w:r>
              <w:rPr>
                <w:rFonts w:cs="Times"/>
                <w:b/>
                <w:bCs/>
                <w:szCs w:val="20"/>
                <w:u w:val="single"/>
              </w:rPr>
              <w:t>Agreement</w:t>
            </w:r>
          </w:p>
          <w:p>
            <w:pPr>
              <w:snapToGrid w:val="0"/>
              <w:spacing w:after="0" w:line="240" w:lineRule="auto"/>
              <w:jc w:val="both"/>
              <w:rPr>
                <w:rFonts w:cs="Times"/>
                <w:szCs w:val="20"/>
              </w:rPr>
            </w:pPr>
            <w:r>
              <w:rPr>
                <w:rFonts w:cs="Times"/>
                <w:szCs w:val="20"/>
              </w:rPr>
              <w:t>On UE reporting for MPE mitigation for Rel-17, investigate and, if needed, specify the following:</w:t>
            </w:r>
          </w:p>
          <w:p>
            <w:pPr>
              <w:pStyle w:val="111"/>
              <w:numPr>
                <w:ilvl w:val="0"/>
                <w:numId w:val="8"/>
              </w:numPr>
              <w:snapToGrid w:val="0"/>
              <w:spacing w:after="0" w:line="240" w:lineRule="auto"/>
              <w:ind w:firstLineChars="0"/>
              <w:jc w:val="both"/>
              <w:rPr>
                <w:rFonts w:cs="Times"/>
                <w:szCs w:val="20"/>
              </w:rPr>
            </w:pPr>
            <w:r>
              <w:rPr>
                <w:rFonts w:cs="Times"/>
              </w:rPr>
              <w:t>Reporting of P-MPR report based on Rel.16 framework.</w:t>
            </w:r>
          </w:p>
          <w:p>
            <w:pPr>
              <w:pStyle w:val="111"/>
              <w:numPr>
                <w:ilvl w:val="1"/>
                <w:numId w:val="8"/>
              </w:numPr>
              <w:snapToGrid w:val="0"/>
              <w:spacing w:after="0" w:line="240" w:lineRule="auto"/>
              <w:ind w:firstLineChars="0"/>
              <w:jc w:val="both"/>
              <w:rPr>
                <w:rFonts w:cs="Times"/>
              </w:rPr>
            </w:pPr>
            <w:r>
              <w:rPr>
                <w:rFonts w:cs="Times"/>
              </w:rPr>
              <w:t>FFS: Whether panel/beam level based P-MPR report is supported</w:t>
            </w:r>
          </w:p>
          <w:p>
            <w:pPr>
              <w:pStyle w:val="111"/>
              <w:numPr>
                <w:ilvl w:val="1"/>
                <w:numId w:val="8"/>
              </w:numPr>
              <w:snapToGrid w:val="0"/>
              <w:spacing w:after="0" w:line="240" w:lineRule="auto"/>
              <w:ind w:firstLineChars="0"/>
              <w:jc w:val="both"/>
              <w:rPr>
                <w:rFonts w:cs="Times"/>
              </w:rPr>
            </w:pPr>
            <w:r>
              <w:rPr>
                <w:rFonts w:cs="Times"/>
              </w:rPr>
              <w:t xml:space="preserve">FFS: Maximum reported number of panels, e.g. single or multiple  </w:t>
            </w:r>
          </w:p>
          <w:p>
            <w:pPr>
              <w:pStyle w:val="111"/>
              <w:numPr>
                <w:ilvl w:val="0"/>
                <w:numId w:val="8"/>
              </w:numPr>
              <w:snapToGrid w:val="0"/>
              <w:spacing w:after="0" w:line="240" w:lineRule="auto"/>
              <w:ind w:firstLineChars="0"/>
              <w:jc w:val="both"/>
              <w:rPr>
                <w:rFonts w:cs="Times"/>
              </w:rPr>
            </w:pPr>
            <w:r>
              <w:rPr>
                <w:rFonts w:cs="Times"/>
              </w:rPr>
              <w:t>Reporting SSBRI(s)/CRI(s) and/or indication of panel selection for the purpose of indicating:</w:t>
            </w:r>
          </w:p>
          <w:p>
            <w:pPr>
              <w:pStyle w:val="111"/>
              <w:numPr>
                <w:ilvl w:val="1"/>
                <w:numId w:val="8"/>
              </w:numPr>
              <w:snapToGrid w:val="0"/>
              <w:spacing w:after="0" w:line="240" w:lineRule="auto"/>
              <w:ind w:firstLineChars="0"/>
              <w:jc w:val="both"/>
              <w:rPr>
                <w:rFonts w:cs="Times"/>
              </w:rPr>
            </w:pPr>
            <w:r>
              <w:rPr>
                <w:rFonts w:cs="Times"/>
              </w:rPr>
              <w:t>Alt1: alternative UE panel(s) or TX beam(s) for UL transmission</w:t>
            </w:r>
          </w:p>
          <w:p>
            <w:pPr>
              <w:pStyle w:val="111"/>
              <w:numPr>
                <w:ilvl w:val="1"/>
                <w:numId w:val="8"/>
              </w:numPr>
              <w:snapToGrid w:val="0"/>
              <w:spacing w:after="0" w:line="240" w:lineRule="auto"/>
              <w:ind w:firstLineChars="0"/>
              <w:jc w:val="both"/>
              <w:rPr>
                <w:rFonts w:cs="Times"/>
              </w:rPr>
            </w:pPr>
            <w:r>
              <w:rPr>
                <w:rFonts w:cs="Times"/>
              </w:rPr>
              <w:t>Alt2: feasible UE panel(s) or TX beam(s) for UL transmission taking the MPE effect into account</w:t>
            </w:r>
          </w:p>
          <w:p>
            <w:pPr>
              <w:pStyle w:val="111"/>
              <w:numPr>
                <w:ilvl w:val="1"/>
                <w:numId w:val="8"/>
              </w:numPr>
              <w:snapToGrid w:val="0"/>
              <w:spacing w:after="0" w:line="240" w:lineRule="auto"/>
              <w:ind w:firstLineChars="0"/>
              <w:jc w:val="both"/>
              <w:rPr>
                <w:rFonts w:cs="Times"/>
              </w:rPr>
            </w:pPr>
            <w:r>
              <w:rPr>
                <w:rFonts w:cs="Times"/>
              </w:rPr>
              <w:t>FFS: indication of panel selection details (e.g. explicit/implicit)</w:t>
            </w:r>
          </w:p>
          <w:p>
            <w:pPr>
              <w:pStyle w:val="111"/>
              <w:numPr>
                <w:ilvl w:val="0"/>
                <w:numId w:val="8"/>
              </w:numPr>
              <w:snapToGrid w:val="0"/>
              <w:spacing w:after="0" w:line="240" w:lineRule="auto"/>
              <w:ind w:firstLineChars="0"/>
              <w:contextualSpacing/>
              <w:jc w:val="both"/>
              <w:rPr>
                <w:rFonts w:cs="Times"/>
                <w:szCs w:val="20"/>
                <w:lang w:eastAsia="ko-KR"/>
              </w:rPr>
            </w:pPr>
            <w:r>
              <w:rPr>
                <w:rFonts w:cs="Times"/>
              </w:rPr>
              <w:t xml:space="preserve">Any additional reporting content: down-select from the following in RAN1#104-e </w:t>
            </w:r>
          </w:p>
          <w:p>
            <w:pPr>
              <w:pStyle w:val="111"/>
              <w:numPr>
                <w:ilvl w:val="1"/>
                <w:numId w:val="8"/>
              </w:numPr>
              <w:snapToGrid w:val="0"/>
              <w:spacing w:after="0" w:line="240" w:lineRule="auto"/>
              <w:ind w:firstLineChars="0"/>
              <w:contextualSpacing/>
              <w:jc w:val="both"/>
              <w:rPr>
                <w:rFonts w:cs="Times"/>
                <w:lang w:val="en-GB"/>
              </w:rPr>
            </w:pPr>
            <w:r>
              <w:rPr>
                <w:rFonts w:cs="Times"/>
              </w:rPr>
              <w:t>Alt0: no additional reporting content</w:t>
            </w:r>
          </w:p>
          <w:p>
            <w:pPr>
              <w:pStyle w:val="111"/>
              <w:numPr>
                <w:ilvl w:val="1"/>
                <w:numId w:val="8"/>
              </w:numPr>
              <w:snapToGrid w:val="0"/>
              <w:spacing w:after="0" w:line="240" w:lineRule="auto"/>
              <w:ind w:firstLineChars="0"/>
              <w:contextualSpacing/>
              <w:jc w:val="both"/>
              <w:rPr>
                <w:rFonts w:cs="Times"/>
              </w:rPr>
            </w:pPr>
            <w:r>
              <w:rPr>
                <w:rFonts w:cs="Times"/>
              </w:rPr>
              <w:t xml:space="preserve">Alt1: Additional reporting content is included (for example P-MPR + L1-RSRP, virtual PHR + L1-RSRP, L1-RSRP/SINR with and without MPE effect, virtual PHR, P-MPR or virtual PHR + CRI/SSBRI, estimated max UL RSRP) </w:t>
            </w:r>
          </w:p>
          <w:p>
            <w:pPr>
              <w:pStyle w:val="111"/>
              <w:numPr>
                <w:ilvl w:val="2"/>
                <w:numId w:val="8"/>
              </w:numPr>
              <w:snapToGrid w:val="0"/>
              <w:spacing w:after="0" w:line="240" w:lineRule="auto"/>
              <w:ind w:firstLineChars="0"/>
              <w:contextualSpacing/>
              <w:jc w:val="both"/>
              <w:rPr>
                <w:rFonts w:cs="Times"/>
              </w:rPr>
            </w:pPr>
            <w:r>
              <w:rPr>
                <w:rFonts w:cs="Times"/>
              </w:rPr>
              <w:t>Note: Other options are not precluded</w:t>
            </w:r>
          </w:p>
          <w:p>
            <w:pPr>
              <w:pStyle w:val="111"/>
              <w:numPr>
                <w:ilvl w:val="2"/>
                <w:numId w:val="8"/>
              </w:numPr>
              <w:snapToGrid w:val="0"/>
              <w:spacing w:after="0" w:line="240" w:lineRule="auto"/>
              <w:ind w:left="1440" w:hanging="360" w:firstLineChars="0"/>
              <w:contextualSpacing/>
              <w:jc w:val="both"/>
              <w:rPr>
                <w:rFonts w:hint="eastAsia" w:eastAsia="微软雅黑"/>
                <w:szCs w:val="20"/>
              </w:rPr>
            </w:pPr>
            <w:r>
              <w:rPr>
                <w:rFonts w:cs="Times"/>
              </w:rPr>
              <w:t>FFS: Whether the above reporting is triggered by UE or configured by NW</w:t>
            </w:r>
          </w:p>
        </w:tc>
      </w:tr>
    </w:tbl>
    <w:p>
      <w:pPr>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Enhancement on FR2 MPE mitigation</w:t>
      </w:r>
    </w:p>
    <w:p>
      <w:pPr>
        <w:overflowPunct w:val="0"/>
        <w:autoSpaceDE w:val="0"/>
        <w:autoSpaceDN w:val="0"/>
        <w:adjustRightInd w:val="0"/>
        <w:snapToGrid w:val="0"/>
        <w:spacing w:before="60" w:beforeLines="25" w:after="120" w:line="300" w:lineRule="auto"/>
        <w:jc w:val="both"/>
        <w:textAlignment w:val="baseline"/>
        <w:rPr>
          <w:rFonts w:eastAsia="微软雅黑"/>
          <w:szCs w:val="20"/>
        </w:rPr>
      </w:pPr>
      <w:r>
        <w:rPr>
          <w:rFonts w:eastAsia="微软雅黑"/>
          <w:szCs w:val="20"/>
        </w:rPr>
        <w:t>In NR Rel-15, RAN4 introduced P-MPR</w:t>
      </w:r>
      <w:r>
        <w:rPr>
          <w:rFonts w:eastAsia="微软雅黑"/>
          <w:szCs w:val="20"/>
          <w:vertAlign w:val="subscript"/>
        </w:rPr>
        <w:t>f,c</w:t>
      </w:r>
      <w:r>
        <w:rPr>
          <w:rFonts w:eastAsia="微软雅黑"/>
          <w:szCs w:val="20"/>
        </w:rPr>
        <w:t xml:space="preserve"> for reducing the maximum transmission power, i.e., Pcmax, with MPE impacts. In Rel-16, an event-driven P-MPR reporting through PHR MAC-CE was introduced for informing the real-time MPE impact. </w:t>
      </w:r>
    </w:p>
    <w:p>
      <w:pPr>
        <w:pStyle w:val="109"/>
        <w:numPr>
          <w:ilvl w:val="0"/>
          <w:numId w:val="7"/>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 xml:space="preserve">There is no doubt that the MPE impact for respective UL beams may be different, but, unfortunately, there is no beam/panel-specific P-MPR definition in either Rel-15 or Rel-16. Consequently, beam-specific P-MPR should be </w:t>
      </w:r>
      <w:r>
        <w:rPr>
          <w:rFonts w:hint="eastAsia" w:eastAsia="微软雅黑"/>
          <w:szCs w:val="20"/>
        </w:rPr>
        <w:t>in</w:t>
      </w:r>
      <w:r>
        <w:rPr>
          <w:rFonts w:eastAsia="微软雅黑"/>
          <w:szCs w:val="20"/>
        </w:rPr>
        <w:t xml:space="preserve">troduced firstly. </w:t>
      </w:r>
    </w:p>
    <w:p>
      <w:pPr>
        <w:pStyle w:val="109"/>
        <w:numPr>
          <w:ilvl w:val="0"/>
          <w:numId w:val="7"/>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For instance, “P-MPR</w:t>
      </w:r>
      <w:r>
        <w:rPr>
          <w:rFonts w:eastAsia="微软雅黑"/>
          <w:szCs w:val="20"/>
          <w:vertAlign w:val="subscript"/>
        </w:rPr>
        <w:t>f,c</w:t>
      </w:r>
      <w:r>
        <w:rPr>
          <w:rFonts w:eastAsia="微软雅黑"/>
          <w:szCs w:val="20"/>
        </w:rPr>
        <w:t>” is replaced by “P-MPR</w:t>
      </w:r>
      <w:r>
        <w:rPr>
          <w:rFonts w:eastAsia="微软雅黑"/>
          <w:szCs w:val="20"/>
          <w:vertAlign w:val="subscript"/>
        </w:rPr>
        <w:t>s,f,c</w:t>
      </w:r>
      <w:r>
        <w:rPr>
          <w:rFonts w:eastAsia="微软雅黑"/>
          <w:szCs w:val="20"/>
        </w:rPr>
        <w:t>” where s denotes the UL beam index, e.g., RS resource/spatial relation/panel index.</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5</w:t>
      </w:r>
      <w:r>
        <w:rPr>
          <w:rFonts w:eastAsia="微软雅黑"/>
          <w:b/>
          <w:i/>
          <w:szCs w:val="20"/>
        </w:rPr>
        <w:t>:</w:t>
      </w:r>
      <w:r>
        <w:rPr>
          <w:rFonts w:hint="eastAsia" w:eastAsia="微软雅黑"/>
          <w:b/>
          <w:i/>
          <w:szCs w:val="20"/>
        </w:rPr>
        <w:t xml:space="preserve"> </w:t>
      </w:r>
      <w:r>
        <w:rPr>
          <w:rFonts w:eastAsia="微软雅黑"/>
          <w:i/>
          <w:szCs w:val="20"/>
        </w:rPr>
        <w:t>Beam/panel-specific P-MPR is introduced in UL power control framework.</w:t>
      </w:r>
    </w:p>
    <w:p>
      <w:pPr>
        <w:pStyle w:val="109"/>
        <w:numPr>
          <w:ilvl w:val="0"/>
          <w:numId w:val="7"/>
        </w:numPr>
        <w:snapToGrid w:val="0"/>
        <w:spacing w:before="60" w:beforeLines="25" w:after="60" w:afterLines="25" w:line="300" w:lineRule="auto"/>
        <w:ind w:firstLineChars="0"/>
        <w:jc w:val="both"/>
        <w:rPr>
          <w:rFonts w:eastAsiaTheme="minorEastAsia"/>
          <w:i/>
          <w:szCs w:val="20"/>
        </w:rPr>
      </w:pPr>
      <w:r>
        <w:rPr>
          <w:rFonts w:hint="eastAsia" w:eastAsia="微软雅黑"/>
          <w:i/>
          <w:szCs w:val="20"/>
        </w:rPr>
        <w:t>For instance,</w:t>
      </w:r>
      <w:r>
        <w:rPr>
          <w:rFonts w:eastAsia="微软雅黑"/>
          <w:i/>
          <w:szCs w:val="20"/>
        </w:rPr>
        <w:t xml:space="preserve"> “</w:t>
      </w:r>
      <w:r>
        <w:rPr>
          <w:rFonts w:hint="eastAsia" w:eastAsia="微软雅黑"/>
          <w:i/>
          <w:szCs w:val="20"/>
        </w:rPr>
        <w:t>P-MPR</w:t>
      </w:r>
      <w:r>
        <w:rPr>
          <w:rFonts w:hint="eastAsia" w:eastAsia="微软雅黑"/>
          <w:i/>
          <w:szCs w:val="20"/>
          <w:vertAlign w:val="subscript"/>
        </w:rPr>
        <w:t>f,c</w:t>
      </w:r>
      <w:r>
        <w:rPr>
          <w:rFonts w:eastAsia="微软雅黑"/>
          <w:i/>
          <w:szCs w:val="20"/>
        </w:rPr>
        <w:t xml:space="preserve">” </w:t>
      </w:r>
      <w:r>
        <w:rPr>
          <w:rFonts w:hint="eastAsia" w:eastAsia="微软雅黑"/>
          <w:i/>
          <w:szCs w:val="20"/>
        </w:rPr>
        <w:t xml:space="preserve">is replaced by </w:t>
      </w:r>
      <w:r>
        <w:rPr>
          <w:rFonts w:eastAsia="微软雅黑"/>
          <w:i/>
          <w:szCs w:val="20"/>
        </w:rPr>
        <w:t>“</w:t>
      </w:r>
      <w:r>
        <w:rPr>
          <w:rFonts w:hint="eastAsia" w:eastAsia="微软雅黑"/>
          <w:i/>
          <w:szCs w:val="20"/>
        </w:rPr>
        <w:t>P-MPR</w:t>
      </w:r>
      <w:r>
        <w:rPr>
          <w:rFonts w:hint="eastAsia" w:eastAsia="微软雅黑"/>
          <w:i/>
          <w:szCs w:val="20"/>
          <w:vertAlign w:val="subscript"/>
        </w:rPr>
        <w:t>s,f,c</w:t>
      </w:r>
      <w:r>
        <w:rPr>
          <w:rFonts w:eastAsia="微软雅黑"/>
          <w:i/>
          <w:szCs w:val="20"/>
        </w:rPr>
        <w:t>”</w:t>
      </w:r>
      <w:r>
        <w:rPr>
          <w:rFonts w:hint="eastAsia" w:eastAsia="微软雅黑"/>
          <w:i/>
          <w:szCs w:val="20"/>
        </w:rPr>
        <w:t xml:space="preserve"> where s denotes the UL beam</w:t>
      </w:r>
      <w:r>
        <w:rPr>
          <w:rFonts w:eastAsia="微软雅黑"/>
          <w:i/>
          <w:szCs w:val="20"/>
        </w:rPr>
        <w:t>/panel</w:t>
      </w:r>
      <w:r>
        <w:rPr>
          <w:rFonts w:hint="eastAsia" w:eastAsia="微软雅黑"/>
          <w:i/>
          <w:szCs w:val="20"/>
        </w:rPr>
        <w:t xml:space="preserve"> index, e.g., TCI state/spatial relation/panel index.</w:t>
      </w:r>
    </w:p>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Subsequently, the real UL transmission power is determined by the min value between Pcmax and required power. For PUSCH transmission, we have the following formula for calculating transmission power.</w:t>
      </w:r>
    </w:p>
    <w:p>
      <w:pPr>
        <w:overflowPunct w:val="0"/>
        <w:autoSpaceDE w:val="0"/>
        <w:autoSpaceDN w:val="0"/>
        <w:adjustRightInd w:val="0"/>
        <w:spacing w:before="120" w:beforeLines="50" w:after="120" w:line="300" w:lineRule="auto"/>
        <w:jc w:val="both"/>
        <w:textAlignment w:val="baseline"/>
        <w:rPr>
          <w:szCs w:val="20"/>
          <w:lang w:val="en-GB"/>
        </w:rPr>
      </w:pPr>
      <w:r>
        <w:rPr>
          <w:position w:val="-32"/>
        </w:rPr>
        <w:drawing>
          <wp:inline distT="0" distB="0" distL="0" distR="0">
            <wp:extent cx="5951220" cy="4806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951220" cy="480695"/>
                    </a:xfrm>
                    <a:prstGeom prst="rect">
                      <a:avLst/>
                    </a:prstGeom>
                    <a:noFill/>
                    <a:ln>
                      <a:noFill/>
                    </a:ln>
                  </pic:spPr>
                </pic:pic>
              </a:graphicData>
            </a:graphic>
          </wp:inline>
        </w:drawing>
      </w:r>
    </w:p>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 xml:space="preserve">In general, whether the performance is degraded by MPE impact is up to the real transmission. </w:t>
      </w:r>
    </w:p>
    <w:p>
      <w:pPr>
        <w:numPr>
          <w:ilvl w:val="0"/>
          <w:numId w:val="10"/>
        </w:numPr>
        <w:overflowPunct w:val="0"/>
        <w:autoSpaceDE w:val="0"/>
        <w:autoSpaceDN w:val="0"/>
        <w:adjustRightInd w:val="0"/>
        <w:spacing w:before="120" w:beforeLines="50" w:after="120" w:line="300" w:lineRule="auto"/>
        <w:jc w:val="both"/>
        <w:textAlignment w:val="baseline"/>
        <w:rPr>
          <w:szCs w:val="20"/>
          <w:lang w:val="en-GB"/>
        </w:rPr>
      </w:pPr>
      <w:r>
        <w:rPr>
          <w:szCs w:val="20"/>
          <w:lang w:val="en-GB"/>
        </w:rPr>
        <w:t xml:space="preserve">For instance, the required UL power is 15 dBm for PUSCH transmission </w:t>
      </w:r>
      <w:r>
        <w:rPr>
          <w:i/>
          <w:szCs w:val="20"/>
          <w:lang w:val="en-GB"/>
        </w:rPr>
        <w:t>i</w:t>
      </w:r>
      <w:r>
        <w:rPr>
          <w:szCs w:val="20"/>
          <w:lang w:val="en-GB"/>
        </w:rPr>
        <w:t xml:space="preserve">, and consequently there is still no impact even the Pcmax is reduced to 16dBm from 23dBm due to MPE. </w:t>
      </w:r>
    </w:p>
    <w:p>
      <w:pPr>
        <w:overflowPunct w:val="0"/>
        <w:autoSpaceDE w:val="0"/>
        <w:autoSpaceDN w:val="0"/>
        <w:adjustRightInd w:val="0"/>
        <w:spacing w:before="120" w:beforeLines="50" w:after="120" w:line="300" w:lineRule="auto"/>
        <w:jc w:val="both"/>
        <w:textAlignment w:val="baseline"/>
        <w:rPr>
          <w:szCs w:val="20"/>
          <w:lang w:val="en-GB"/>
        </w:rPr>
      </w:pPr>
      <w:r>
        <w:rPr>
          <w:szCs w:val="20"/>
          <w:lang w:val="en-GB"/>
        </w:rPr>
        <w:t>Therefore, if beam reporting is only based on MPE rather than both MPE and the virtual/real transmission, the UL beam (with low MPE but large path loss) recommended by reporting may be useless, and more power is wasted for keeping the same performance. On the other hand, beam specific PHR reporting, i.e., difference between Pcmax and the required transmission power, can well present the MPE impact transparently, and a UL beam re-indication can be performed by gNB if a low PHR, e.g., 0-dB or negative, is received for the current beam.</w:t>
      </w:r>
    </w:p>
    <w:p>
      <w:pPr>
        <w:overflowPunct w:val="0"/>
        <w:autoSpaceDE w:val="0"/>
        <w:autoSpaceDN w:val="0"/>
        <w:adjustRightInd w:val="0"/>
        <w:spacing w:before="120" w:beforeLines="50" w:after="120" w:line="300" w:lineRule="auto"/>
        <w:jc w:val="both"/>
        <w:textAlignment w:val="baseline"/>
        <w:rPr>
          <w:szCs w:val="20"/>
          <w:lang w:val="en-GB"/>
        </w:rPr>
      </w:pPr>
      <w:r>
        <w:rPr>
          <w:rFonts w:hint="eastAsia"/>
          <w:szCs w:val="20"/>
          <w:lang w:val="en-GB"/>
        </w:rPr>
        <w:t>In</w:t>
      </w:r>
      <w:r>
        <w:rPr>
          <w:szCs w:val="20"/>
          <w:lang w:val="en-GB"/>
        </w:rPr>
        <w:t xml:space="preserve"> order to detect the candidate UL beams with low MPE impact, the virtual PHR should be further enhanced to report SSBRI(s)/CRI(s), and in such case, </w:t>
      </w:r>
      <w:r>
        <w:rPr>
          <w:rFonts w:eastAsia="微软雅黑"/>
          <w:szCs w:val="20"/>
        </w:rPr>
        <w:t xml:space="preserve">the PL value for the virtual PHR calculation is determined according to the </w:t>
      </w:r>
      <w:r>
        <w:rPr>
          <w:szCs w:val="20"/>
          <w:lang w:val="en-GB"/>
        </w:rPr>
        <w:t>SSBRI(s)/CRI(s)</w:t>
      </w:r>
      <w:r>
        <w:rPr>
          <w:rFonts w:eastAsia="微软雅黑"/>
          <w:szCs w:val="20"/>
        </w:rPr>
        <w:t>.</w:t>
      </w:r>
      <w:r>
        <w:rPr>
          <w:szCs w:val="20"/>
          <w:lang w:val="en-GB"/>
        </w:rPr>
        <w:t xml:space="preserve"> </w:t>
      </w:r>
    </w:p>
    <w:p>
      <w:pPr>
        <w:pStyle w:val="111"/>
        <w:numPr>
          <w:ilvl w:val="0"/>
          <w:numId w:val="7"/>
        </w:numPr>
        <w:overflowPunct w:val="0"/>
        <w:autoSpaceDE w:val="0"/>
        <w:autoSpaceDN w:val="0"/>
        <w:adjustRightInd w:val="0"/>
        <w:spacing w:before="120" w:beforeLines="50" w:after="120" w:line="300" w:lineRule="auto"/>
        <w:ind w:firstLineChars="0"/>
        <w:jc w:val="both"/>
        <w:textAlignment w:val="baseline"/>
        <w:rPr>
          <w:szCs w:val="20"/>
          <w:lang w:val="en-GB"/>
        </w:rPr>
      </w:pPr>
      <w:r>
        <w:rPr>
          <w:rFonts w:eastAsia="微软雅黑"/>
          <w:szCs w:val="20"/>
        </w:rPr>
        <w:t>For instance, once the beam/panel-specific P-MPR is beyond the threshold</w:t>
      </w:r>
      <w:r>
        <w:rPr>
          <w:szCs w:val="20"/>
          <w:lang w:val="en-GB"/>
        </w:rPr>
        <w:t>, the virtual PHR is triggered to be reported</w:t>
      </w:r>
      <w:r>
        <w:rPr>
          <w:rFonts w:hint="eastAsia"/>
          <w:szCs w:val="20"/>
          <w:lang w:val="en-GB"/>
        </w:rPr>
        <w:t>.</w:t>
      </w:r>
      <w:r>
        <w:rPr>
          <w:szCs w:val="20"/>
          <w:lang w:val="en-GB"/>
        </w:rPr>
        <w:t xml:space="preserve"> The UE shall report SSBRI(s)/CRI(s) along with the virtual PHR with the objective of maximizing PHR value, i.e., minimizing the value of P-MPR and PL.</w:t>
      </w:r>
    </w:p>
    <w:p>
      <w:pPr>
        <w:pStyle w:val="111"/>
        <w:numPr>
          <w:ilvl w:val="1"/>
          <w:numId w:val="7"/>
        </w:numPr>
        <w:overflowPunct w:val="0"/>
        <w:autoSpaceDE w:val="0"/>
        <w:autoSpaceDN w:val="0"/>
        <w:adjustRightInd w:val="0"/>
        <w:snapToGrid w:val="0"/>
        <w:spacing w:before="120" w:beforeLines="25" w:after="120" w:afterLines="50" w:line="300" w:lineRule="auto"/>
        <w:ind w:left="840" w:firstLine="0" w:firstLineChars="0"/>
        <w:jc w:val="both"/>
        <w:textAlignment w:val="baseline"/>
        <w:rPr>
          <w:rFonts w:eastAsia="微软雅黑"/>
          <w:szCs w:val="20"/>
          <w:lang w:val="en-GB"/>
        </w:rPr>
      </w:pPr>
      <w:r>
        <w:rPr>
          <w:rFonts w:eastAsia="微软雅黑"/>
          <w:szCs w:val="20"/>
          <w:lang w:val="en-GB"/>
        </w:rPr>
        <w:t>In order to</w:t>
      </w:r>
      <w:r>
        <w:rPr>
          <w:rFonts w:eastAsia="微软雅黑"/>
          <w:szCs w:val="20"/>
        </w:rPr>
        <w:t xml:space="preserve"> minimizing spec impacts</w:t>
      </w:r>
      <w:r>
        <w:rPr>
          <w:rFonts w:eastAsia="微软雅黑"/>
          <w:szCs w:val="20"/>
          <w:lang w:val="en-GB"/>
        </w:rPr>
        <w:t>, its virtual PHR(s) can be reported together with its real PHR</w:t>
      </w:r>
      <w:r>
        <w:rPr>
          <w:rFonts w:eastAsia="微软雅黑"/>
          <w:szCs w:val="20"/>
        </w:rPr>
        <w:t xml:space="preserve"> reusing current MAC-CE with enhancements of adding more specific fields related to virtual PHR(s)</w:t>
      </w:r>
      <w:r>
        <w:rPr>
          <w:rFonts w:eastAsia="微软雅黑"/>
          <w:szCs w:val="20"/>
          <w:lang w:val="en-GB"/>
        </w:rPr>
        <w:t>.</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6</w:t>
      </w:r>
      <w:r>
        <w:rPr>
          <w:rFonts w:eastAsia="微软雅黑"/>
          <w:b/>
          <w:i/>
          <w:szCs w:val="20"/>
        </w:rPr>
        <w:t>:</w:t>
      </w:r>
      <w:r>
        <w:rPr>
          <w:rFonts w:hint="eastAsia" w:eastAsia="微软雅黑"/>
          <w:b/>
          <w:i/>
          <w:szCs w:val="20"/>
        </w:rPr>
        <w:t xml:space="preserve"> </w:t>
      </w:r>
      <w:r>
        <w:rPr>
          <w:rFonts w:cs="Times"/>
          <w:i/>
        </w:rPr>
        <w:t xml:space="preserve">Reporting SSBRI(s)/CRI(s) along with a virtual PHR is supported for the purpose of indicating feasible UE panel(s) or TX beam(s) for UL transmission </w:t>
      </w:r>
      <w:r>
        <w:rPr>
          <w:rFonts w:eastAsia="微软雅黑" w:cs="Times New Roman"/>
          <w:i/>
          <w:szCs w:val="20"/>
        </w:rPr>
        <w:t>taking</w:t>
      </w:r>
      <w:r>
        <w:rPr>
          <w:rFonts w:cs="Times"/>
          <w:i/>
        </w:rPr>
        <w:t xml:space="preserve"> the MPE effect into account</w:t>
      </w:r>
    </w:p>
    <w:p>
      <w:pPr>
        <w:pStyle w:val="109"/>
        <w:numPr>
          <w:ilvl w:val="0"/>
          <w:numId w:val="7"/>
        </w:numPr>
        <w:snapToGrid w:val="0"/>
        <w:spacing w:before="60" w:beforeLines="25" w:after="60" w:afterLines="25" w:line="300" w:lineRule="auto"/>
        <w:ind w:firstLineChars="0"/>
        <w:jc w:val="both"/>
        <w:rPr>
          <w:rFonts w:eastAsia="微软雅黑" w:cs="Times"/>
          <w:i/>
          <w:szCs w:val="20"/>
        </w:rPr>
      </w:pPr>
      <w:r>
        <w:rPr>
          <w:rFonts w:eastAsia="微软雅黑"/>
          <w:i/>
          <w:szCs w:val="20"/>
        </w:rPr>
        <w:t>The virtual PHR is determined according to the SSBRI(s)/CRI(s)</w:t>
      </w:r>
    </w:p>
    <w:p>
      <w:pPr>
        <w:pStyle w:val="109"/>
        <w:numPr>
          <w:ilvl w:val="0"/>
          <w:numId w:val="7"/>
        </w:numPr>
        <w:snapToGrid w:val="0"/>
        <w:spacing w:before="60" w:beforeLines="25" w:after="60" w:afterLines="25" w:line="300" w:lineRule="auto"/>
        <w:ind w:firstLineChars="0"/>
        <w:jc w:val="both"/>
        <w:rPr>
          <w:rFonts w:eastAsia="微软雅黑"/>
          <w:i/>
          <w:szCs w:val="20"/>
        </w:rPr>
      </w:pPr>
      <w:r>
        <w:rPr>
          <w:rFonts w:eastAsia="微软雅黑"/>
          <w:i/>
          <w:szCs w:val="20"/>
        </w:rPr>
        <w:t>MPE event detection as for R16 PHR/P-MPR MAC-CE can be reused as a baseline.</w:t>
      </w:r>
    </w:p>
    <w:p>
      <w:pPr>
        <w:widowControl w:val="0"/>
        <w:numPr>
          <w:ilvl w:val="2"/>
          <w:numId w:val="5"/>
        </w:numPr>
        <w:tabs>
          <w:tab w:val="clear" w:pos="720"/>
        </w:tabs>
        <w:snapToGrid w:val="0"/>
        <w:spacing w:before="240" w:after="120" w:afterLines="50" w:line="240" w:lineRule="auto"/>
        <w:ind w:left="607" w:hanging="607"/>
        <w:jc w:val="both"/>
        <w:outlineLvl w:val="2"/>
        <w:rPr>
          <w:rFonts w:eastAsia="宋体"/>
          <w:b/>
          <w:sz w:val="21"/>
          <w:szCs w:val="20"/>
        </w:rPr>
      </w:pPr>
      <w:r>
        <w:rPr>
          <w:rFonts w:eastAsia="宋体"/>
          <w:b/>
          <w:sz w:val="21"/>
          <w:szCs w:val="20"/>
        </w:rPr>
        <w:t>Simulation results for f</w:t>
      </w:r>
      <w:r>
        <w:rPr>
          <w:rFonts w:hint="eastAsia" w:eastAsia="宋体"/>
          <w:b/>
          <w:sz w:val="21"/>
          <w:szCs w:val="20"/>
        </w:rPr>
        <w:t>ast panel selection</w:t>
      </w:r>
      <w:r>
        <w:rPr>
          <w:rFonts w:eastAsia="宋体"/>
          <w:b/>
          <w:sz w:val="21"/>
          <w:szCs w:val="20"/>
        </w:rPr>
        <w:t xml:space="preserve"> due to MPE impacts</w:t>
      </w:r>
    </w:p>
    <w:p>
      <w:pPr>
        <w:widowControl w:val="0"/>
        <w:snapToGrid w:val="0"/>
        <w:spacing w:before="120" w:after="120" w:afterLines="50" w:line="300" w:lineRule="auto"/>
        <w:jc w:val="both"/>
        <w:rPr>
          <w:rFonts w:eastAsia="微软雅黑"/>
          <w:szCs w:val="20"/>
        </w:rPr>
      </w:pPr>
      <w:r>
        <w:rPr>
          <w:rFonts w:eastAsia="微软雅黑"/>
          <w:szCs w:val="20"/>
        </w:rPr>
        <w:t xml:space="preserve">In this subsection, we conduct performance evaluation in terms of RSRP distribution, according to Rel-17 EVM for dense urban in </w:t>
      </w:r>
      <w:r>
        <w:t>MPE/Multi-panel UE</w:t>
      </w:r>
      <w:r>
        <w:rPr>
          <w:rFonts w:eastAsia="微软雅黑"/>
          <w:szCs w:val="20"/>
        </w:rPr>
        <w:t xml:space="preserve"> as agreed during email discussion. Note that, in this simulation, we consider a UE with two back-by-back panels and antenna configuration of (2, 4, 2, 2, 1)</w:t>
      </w:r>
      <w:r>
        <w:rPr>
          <w:szCs w:val="20"/>
        </w:rPr>
        <w:t xml:space="preserve">. Only one out of two panels is blocked, and the blocked panel is randomly selected at each drop. </w:t>
      </w:r>
      <w:r>
        <w:rPr>
          <w:rFonts w:eastAsia="微软雅黑"/>
          <w:szCs w:val="20"/>
        </w:rPr>
        <w:t xml:space="preserve">When MPE occurs, the maximum TX power for the covered panel is reduced by 10dB P-MPR.  </w:t>
      </w:r>
    </w:p>
    <w:p>
      <w:pPr>
        <w:widowControl w:val="0"/>
        <w:snapToGrid w:val="0"/>
        <w:spacing w:before="120" w:after="120" w:afterLines="50" w:line="240" w:lineRule="auto"/>
        <w:jc w:val="center"/>
        <w:rPr>
          <w:rFonts w:eastAsia="微软雅黑"/>
          <w:szCs w:val="20"/>
        </w:rPr>
      </w:pPr>
      <w:r>
        <w:rPr>
          <w:rFonts w:eastAsia="微软雅黑"/>
          <w:szCs w:val="20"/>
        </w:rPr>
        <w:drawing>
          <wp:inline distT="0" distB="0" distL="0" distR="0">
            <wp:extent cx="3865880" cy="2893060"/>
            <wp:effectExtent l="0" t="0" r="1270" b="2540"/>
            <wp:docPr id="2" name="Picture 2" descr="C:\Users\10190306\Desktop\M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190306\Desktop\MPE.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911681" cy="2927484"/>
                    </a:xfrm>
                    <a:prstGeom prst="rect">
                      <a:avLst/>
                    </a:prstGeom>
                    <a:noFill/>
                    <a:ln>
                      <a:noFill/>
                    </a:ln>
                  </pic:spPr>
                </pic:pic>
              </a:graphicData>
            </a:graphic>
          </wp:inline>
        </w:drawing>
      </w:r>
    </w:p>
    <w:p>
      <w:pPr>
        <w:overflowPunct w:val="0"/>
        <w:autoSpaceDE w:val="0"/>
        <w:autoSpaceDN w:val="0"/>
        <w:adjustRightInd w:val="0"/>
        <w:snapToGrid w:val="0"/>
        <w:spacing w:before="120" w:beforeLines="5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Pr>
          <w:rFonts w:hint="eastAsia" w:eastAsia="宋体"/>
          <w:b/>
          <w:szCs w:val="20"/>
        </w:rPr>
        <w:t>10</w:t>
      </w:r>
      <w:r>
        <w:rPr>
          <w:rFonts w:hint="eastAsia"/>
          <w:szCs w:val="20"/>
        </w:rPr>
        <w:t xml:space="preserve"> </w:t>
      </w:r>
      <w:r>
        <w:rPr>
          <w:szCs w:val="20"/>
        </w:rPr>
        <w:t>CDF of UL RSRP distribution in dense urban</w:t>
      </w:r>
    </w:p>
    <w:p>
      <w:pPr>
        <w:widowControl w:val="0"/>
        <w:snapToGrid w:val="0"/>
        <w:spacing w:before="120" w:after="120" w:afterLines="50" w:line="300" w:lineRule="auto"/>
        <w:jc w:val="both"/>
        <w:rPr>
          <w:rFonts w:eastAsia="微软雅黑"/>
          <w:szCs w:val="20"/>
        </w:rPr>
      </w:pPr>
      <w:r>
        <w:rPr>
          <w:rFonts w:eastAsia="微软雅黑"/>
          <w:szCs w:val="20"/>
        </w:rPr>
        <w:t xml:space="preserve">The CDF of RSRP distribution can be found in Figure </w:t>
      </w:r>
      <w:r>
        <w:rPr>
          <w:rFonts w:hint="eastAsia" w:eastAsia="微软雅黑"/>
          <w:szCs w:val="20"/>
        </w:rPr>
        <w:t>10</w:t>
      </w:r>
      <w:r>
        <w:rPr>
          <w:rFonts w:eastAsia="微软雅黑"/>
          <w:szCs w:val="20"/>
        </w:rPr>
        <w:t xml:space="preserve">, where the following three cases are considered: no MPE impact, no panel-switching with MPE </w:t>
      </w:r>
      <w:r>
        <w:rPr>
          <w:szCs w:val="20"/>
        </w:rPr>
        <w:t>impacts</w:t>
      </w:r>
      <w:r>
        <w:rPr>
          <w:rFonts w:eastAsia="微软雅黑"/>
          <w:szCs w:val="20"/>
        </w:rPr>
        <w:t xml:space="preserve"> and fast panel switching with MPE. We have the following observations</w:t>
      </w:r>
    </w:p>
    <w:p>
      <w:pPr>
        <w:pStyle w:val="109"/>
        <w:numPr>
          <w:ilvl w:val="0"/>
          <w:numId w:val="7"/>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eastAsia="微软雅黑"/>
          <w:szCs w:val="20"/>
        </w:rPr>
        <w:t>There is severe RSRP degradation for UL transmission, especially for 5% cell-edge UE (about 8.5 dB RSRP loss over the case of no MPE impact), due to the panel-specific MPE impacts.</w:t>
      </w:r>
    </w:p>
    <w:p>
      <w:pPr>
        <w:pStyle w:val="109"/>
        <w:numPr>
          <w:ilvl w:val="0"/>
          <w:numId w:val="7"/>
        </w:numPr>
        <w:overflowPunct w:val="0"/>
        <w:autoSpaceDE w:val="0"/>
        <w:autoSpaceDN w:val="0"/>
        <w:adjustRightInd w:val="0"/>
        <w:snapToGrid w:val="0"/>
        <w:spacing w:before="60" w:beforeLines="25" w:after="120" w:line="300" w:lineRule="auto"/>
        <w:ind w:firstLineChars="0"/>
        <w:jc w:val="both"/>
        <w:textAlignment w:val="baseline"/>
        <w:rPr>
          <w:rFonts w:eastAsia="微软雅黑"/>
          <w:szCs w:val="20"/>
        </w:rPr>
      </w:pPr>
      <w:r>
        <w:rPr>
          <w:rFonts w:hint="eastAsia" w:eastAsia="微软雅黑"/>
          <w:szCs w:val="20"/>
        </w:rPr>
        <w:t>T</w:t>
      </w:r>
      <w:r>
        <w:rPr>
          <w:rFonts w:eastAsia="微软雅黑"/>
          <w:szCs w:val="20"/>
        </w:rPr>
        <w:t>hrough introducing fast UE panel switching, there are nearly 5 dB RSRP gain for 5% cell edge UE and 2.5 dB gain for 50%-ile UE. This means that the fast UE panel can be very beneficial for UL coverage enhancement under MPE impacts.</w:t>
      </w:r>
    </w:p>
    <w:p>
      <w:pPr>
        <w:snapToGrid w:val="0"/>
        <w:spacing w:before="60" w:beforeLines="25" w:after="60" w:afterLines="25" w:line="300" w:lineRule="auto"/>
        <w:jc w:val="both"/>
        <w:rPr>
          <w:rFonts w:eastAsia="微软雅黑"/>
          <w:i/>
          <w:szCs w:val="20"/>
        </w:rPr>
      </w:pPr>
      <w:r>
        <w:rPr>
          <w:rFonts w:eastAsia="宋体"/>
          <w:b/>
          <w:bCs/>
          <w:i/>
          <w:iCs/>
        </w:rPr>
        <w:t xml:space="preserve">Observation 4: </w:t>
      </w:r>
      <w:r>
        <w:rPr>
          <w:rFonts w:eastAsia="微软雅黑"/>
          <w:i/>
          <w:szCs w:val="20"/>
        </w:rPr>
        <w:t xml:space="preserve">From the evaluation results for MPE impacts, it can be observed that </w:t>
      </w:r>
    </w:p>
    <w:p>
      <w:pPr>
        <w:pStyle w:val="109"/>
        <w:numPr>
          <w:ilvl w:val="0"/>
          <w:numId w:val="7"/>
        </w:numPr>
        <w:snapToGrid w:val="0"/>
        <w:spacing w:before="60" w:beforeLines="25" w:after="60" w:afterLines="25" w:line="300" w:lineRule="auto"/>
        <w:ind w:firstLineChars="0"/>
        <w:jc w:val="both"/>
        <w:rPr>
          <w:rFonts w:eastAsia="微软雅黑"/>
          <w:i/>
          <w:szCs w:val="20"/>
        </w:rPr>
      </w:pPr>
      <w:r>
        <w:rPr>
          <w:rFonts w:eastAsia="微软雅黑"/>
          <w:i/>
          <w:szCs w:val="20"/>
        </w:rPr>
        <w:t>Severely degradation for UL coverage occurs due to the panel-specific MPE impact</w:t>
      </w:r>
    </w:p>
    <w:p>
      <w:pPr>
        <w:pStyle w:val="109"/>
        <w:numPr>
          <w:ilvl w:val="0"/>
          <w:numId w:val="7"/>
        </w:numPr>
        <w:snapToGrid w:val="0"/>
        <w:spacing w:before="60" w:beforeLines="25" w:after="60" w:afterLines="25" w:line="300" w:lineRule="auto"/>
        <w:ind w:firstLineChars="0"/>
        <w:jc w:val="both"/>
        <w:rPr>
          <w:rFonts w:eastAsia="微软雅黑"/>
          <w:i/>
          <w:szCs w:val="20"/>
        </w:rPr>
      </w:pPr>
      <w:r>
        <w:rPr>
          <w:rFonts w:eastAsia="微软雅黑"/>
          <w:i/>
          <w:szCs w:val="20"/>
        </w:rPr>
        <w:t>Introducing fast UE panel switching can bring significant performance gain, especially for cell-edge UE.</w:t>
      </w: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napToGrid w:val="0"/>
        <w:spacing w:before="120" w:after="120" w:afterLines="50" w:line="300" w:lineRule="auto"/>
        <w:jc w:val="both"/>
        <w:rPr>
          <w:rFonts w:eastAsia="微软雅黑"/>
          <w:szCs w:val="20"/>
        </w:rPr>
      </w:pPr>
      <w:r>
        <w:rPr>
          <w:rFonts w:hint="eastAsia" w:eastAsia="微软雅黑"/>
          <w:szCs w:val="20"/>
        </w:rPr>
        <w:t>I</w:t>
      </w:r>
      <w:r>
        <w:rPr>
          <w:rFonts w:eastAsia="微软雅黑"/>
          <w:szCs w:val="20"/>
        </w:rPr>
        <w:t xml:space="preserve">n this contribution, we discuss the </w:t>
      </w:r>
      <w:r>
        <w:rPr>
          <w:rFonts w:eastAsia="微软雅黑"/>
          <w:szCs w:val="20"/>
          <w:lang w:val="en-GB"/>
        </w:rPr>
        <w:t>enhancements on multi-beam operation</w:t>
      </w:r>
      <w:r>
        <w:rPr>
          <w:rFonts w:eastAsia="微软雅黑"/>
          <w:szCs w:val="20"/>
        </w:rPr>
        <w:t xml:space="preserve"> in Rel-17. We have the following </w:t>
      </w:r>
      <w:r>
        <w:rPr>
          <w:rFonts w:hint="eastAsia" w:eastAsia="微软雅黑"/>
          <w:szCs w:val="20"/>
          <w:lang w:val="en-US" w:eastAsia="zh-CN"/>
        </w:rPr>
        <w:t xml:space="preserve">observations and </w:t>
      </w:r>
      <w:r>
        <w:rPr>
          <w:rFonts w:eastAsia="微软雅黑"/>
          <w:szCs w:val="20"/>
        </w:rPr>
        <w:t>proposals.</w:t>
      </w:r>
    </w:p>
    <w:p>
      <w:pPr>
        <w:spacing w:before="120" w:beforeLines="50" w:after="120" w:afterLines="50"/>
        <w:jc w:val="both"/>
        <w:rPr>
          <w:b/>
          <w:i/>
          <w:szCs w:val="20"/>
        </w:rPr>
      </w:pPr>
      <w:r>
        <w:rPr>
          <w:b/>
          <w:i/>
          <w:szCs w:val="20"/>
        </w:rPr>
        <w:t xml:space="preserve">Observation 1: </w:t>
      </w:r>
    </w:p>
    <w:p>
      <w:pPr>
        <w:pStyle w:val="99"/>
        <w:numPr>
          <w:ilvl w:val="0"/>
          <w:numId w:val="7"/>
        </w:numPr>
        <w:snapToGrid w:val="0"/>
        <w:spacing w:before="60" w:beforeLines="25" w:after="60" w:afterLines="25" w:line="300" w:lineRule="auto"/>
        <w:ind w:left="840" w:hanging="420" w:firstLineChars="0"/>
        <w:jc w:val="both"/>
        <w:rPr>
          <w:i/>
          <w:szCs w:val="20"/>
        </w:rPr>
      </w:pPr>
      <w:r>
        <w:rPr>
          <w:i/>
          <w:szCs w:val="20"/>
        </w:rPr>
        <w:t>Due to sharing a single RRC TCI state pool for a CC group rather than respective pools per CC, Opt-1 can significantly save RRC overhead over Opt-2, e.g., 1</w:t>
      </w:r>
      <w:r>
        <w:rPr>
          <w:rFonts w:hint="eastAsia" w:eastAsia="宋体"/>
          <w:i/>
          <w:szCs w:val="20"/>
        </w:rPr>
        <w:t>.12</w:t>
      </w:r>
      <w:r>
        <w:rPr>
          <w:i/>
          <w:szCs w:val="20"/>
        </w:rPr>
        <w:t>kB vs 1</w:t>
      </w:r>
      <w:r>
        <w:rPr>
          <w:rFonts w:hint="eastAsia" w:eastAsia="宋体"/>
          <w:i/>
          <w:szCs w:val="20"/>
        </w:rPr>
        <w:t>43.36</w:t>
      </w:r>
      <w:r>
        <w:rPr>
          <w:i/>
          <w:szCs w:val="20"/>
        </w:rPr>
        <w:t xml:space="preserve"> kB.</w:t>
      </w:r>
    </w:p>
    <w:p>
      <w:pPr>
        <w:pStyle w:val="99"/>
        <w:numPr>
          <w:ilvl w:val="0"/>
          <w:numId w:val="7"/>
        </w:numPr>
        <w:snapToGrid w:val="0"/>
        <w:spacing w:before="60" w:beforeLines="25" w:after="60" w:afterLines="25" w:line="300" w:lineRule="auto"/>
        <w:ind w:left="840" w:hanging="420" w:firstLineChars="0"/>
        <w:jc w:val="both"/>
        <w:rPr>
          <w:i/>
          <w:szCs w:val="20"/>
        </w:rPr>
      </w:pPr>
      <w:r>
        <w:rPr>
          <w:i/>
          <w:szCs w:val="20"/>
        </w:rPr>
        <w:t xml:space="preserve">Configuration flexibility of Opt-1 is sufficient for unified TCI indication, considering the identical RS configuration (e.g., TRS) across multiple CCs under the requirement of updating a common beam for all RS/channels, although losing some flexibility compared with Opt-2.  </w:t>
      </w:r>
    </w:p>
    <w:p>
      <w:pPr>
        <w:jc w:val="both"/>
        <w:rPr>
          <w:rFonts w:eastAsia="宋体"/>
        </w:rPr>
      </w:pPr>
      <w:r>
        <w:rPr>
          <w:rFonts w:eastAsia="宋体"/>
          <w:b/>
          <w:bCs/>
          <w:i/>
          <w:iCs/>
        </w:rPr>
        <w:t xml:space="preserve">Observation 2: </w:t>
      </w:r>
      <w:r>
        <w:rPr>
          <w:rFonts w:eastAsia="宋体"/>
          <w:i/>
        </w:rPr>
        <w:t xml:space="preserve">If additional timing for waiting for </w:t>
      </w:r>
      <w:r>
        <w:rPr>
          <w:rFonts w:hint="eastAsia" w:eastAsia="宋体"/>
          <w:i/>
        </w:rPr>
        <w:t xml:space="preserve">the </w:t>
      </w:r>
      <w:r>
        <w:rPr>
          <w:rFonts w:eastAsia="宋体"/>
          <w:i/>
        </w:rPr>
        <w:t>first SSB transmission and T</w:t>
      </w:r>
      <w:r>
        <w:rPr>
          <w:rFonts w:eastAsia="宋体"/>
          <w:i/>
          <w:vertAlign w:val="subscript"/>
        </w:rPr>
        <w:t>L1-RSRP</w:t>
      </w:r>
      <w:r>
        <w:rPr>
          <w:rFonts w:eastAsia="宋体"/>
          <w:i/>
        </w:rPr>
        <w:t xml:space="preserve"> can NOT be reduced significantly, latency reduction for int</w:t>
      </w:r>
      <w:r>
        <w:rPr>
          <w:rFonts w:eastAsia="微软雅黑"/>
          <w:i/>
          <w:szCs w:val="20"/>
          <w:lang w:val="en-GB"/>
        </w:rPr>
        <w:t>ra-cell and inter-cell mobility through introducing dynamical/unified TCI approach becomes MEANINGLESS.</w:t>
      </w:r>
    </w:p>
    <w:p>
      <w:pPr>
        <w:snapToGrid w:val="0"/>
        <w:spacing w:before="120" w:beforeLines="50" w:after="60" w:afterLines="25" w:line="300" w:lineRule="auto"/>
        <w:jc w:val="both"/>
        <w:rPr>
          <w:rFonts w:eastAsia="微软雅黑"/>
          <w:i/>
          <w:szCs w:val="20"/>
        </w:rPr>
      </w:pPr>
      <w:r>
        <w:rPr>
          <w:rFonts w:eastAsia="宋体"/>
          <w:b/>
          <w:bCs/>
          <w:i/>
          <w:iCs/>
        </w:rPr>
        <w:t xml:space="preserve">Observation 3: </w:t>
      </w:r>
      <w:r>
        <w:rPr>
          <w:rFonts w:eastAsia="微软雅黑"/>
          <w:i/>
          <w:szCs w:val="20"/>
        </w:rPr>
        <w:t xml:space="preserve">From SLS evaluation results for inter-cell high mobility in HST scenario, it can be observed that </w:t>
      </w:r>
    </w:p>
    <w:p>
      <w:pPr>
        <w:pStyle w:val="109"/>
        <w:numPr>
          <w:ilvl w:val="0"/>
          <w:numId w:val="7"/>
        </w:numPr>
        <w:snapToGrid w:val="0"/>
        <w:spacing w:before="60" w:beforeLines="25" w:after="60" w:afterLines="25" w:line="300" w:lineRule="auto"/>
        <w:ind w:firstLineChars="0"/>
        <w:jc w:val="both"/>
        <w:rPr>
          <w:rFonts w:eastAsia="微软雅黑"/>
          <w:i/>
          <w:szCs w:val="20"/>
        </w:rPr>
      </w:pPr>
      <w:r>
        <w:rPr>
          <w:rFonts w:eastAsia="微软雅黑"/>
          <w:i/>
          <w:szCs w:val="20"/>
        </w:rPr>
        <w:t>Severe outage, RSRP and throughput degradation for L3 mobility occur due to a long latency of L3 handover.</w:t>
      </w:r>
    </w:p>
    <w:p>
      <w:pPr>
        <w:pStyle w:val="109"/>
        <w:numPr>
          <w:ilvl w:val="0"/>
          <w:numId w:val="7"/>
        </w:numPr>
        <w:snapToGrid w:val="0"/>
        <w:spacing w:before="60" w:beforeLines="25" w:after="60" w:afterLines="25" w:line="300" w:lineRule="auto"/>
        <w:ind w:firstLineChars="0"/>
        <w:jc w:val="both"/>
        <w:rPr>
          <w:rFonts w:eastAsia="宋体"/>
          <w:b/>
          <w:bCs/>
          <w:kern w:val="2"/>
          <w:sz w:val="24"/>
          <w:szCs w:val="24"/>
        </w:rPr>
      </w:pPr>
      <w:r>
        <w:rPr>
          <w:rFonts w:eastAsia="微软雅黑"/>
          <w:i/>
          <w:szCs w:val="20"/>
        </w:rPr>
        <w:t>Introducing L1/L2-centric mobility to achieve DCI based beam switching between neighboring cell(s) can bring significant performance gain over L3 mobility.</w:t>
      </w:r>
    </w:p>
    <w:p>
      <w:pPr>
        <w:snapToGrid w:val="0"/>
        <w:spacing w:before="60" w:beforeLines="25" w:after="60" w:afterLines="25" w:line="300" w:lineRule="auto"/>
        <w:jc w:val="both"/>
        <w:rPr>
          <w:rFonts w:eastAsia="微软雅黑"/>
          <w:i/>
          <w:szCs w:val="20"/>
        </w:rPr>
      </w:pPr>
      <w:r>
        <w:rPr>
          <w:rFonts w:eastAsia="宋体"/>
          <w:b/>
          <w:bCs/>
          <w:i/>
          <w:iCs/>
        </w:rPr>
        <w:t xml:space="preserve">Observation 4: </w:t>
      </w:r>
      <w:r>
        <w:rPr>
          <w:rFonts w:eastAsia="微软雅黑"/>
          <w:i/>
          <w:szCs w:val="20"/>
        </w:rPr>
        <w:t xml:space="preserve">From the evaluation results for MPE impacts, it can be observed that </w:t>
      </w:r>
    </w:p>
    <w:p>
      <w:pPr>
        <w:pStyle w:val="109"/>
        <w:numPr>
          <w:ilvl w:val="0"/>
          <w:numId w:val="7"/>
        </w:numPr>
        <w:snapToGrid w:val="0"/>
        <w:spacing w:before="60" w:beforeLines="25" w:after="60" w:afterLines="25" w:line="300" w:lineRule="auto"/>
        <w:ind w:firstLineChars="0"/>
        <w:jc w:val="both"/>
        <w:rPr>
          <w:rFonts w:eastAsia="微软雅黑"/>
          <w:i/>
          <w:szCs w:val="20"/>
        </w:rPr>
      </w:pPr>
      <w:r>
        <w:rPr>
          <w:rFonts w:eastAsia="微软雅黑"/>
          <w:i/>
          <w:szCs w:val="20"/>
        </w:rPr>
        <w:t>Severely degradation for UL coverage occurs due to the panel-specific MPE impact</w:t>
      </w:r>
    </w:p>
    <w:p>
      <w:pPr>
        <w:pStyle w:val="109"/>
        <w:numPr>
          <w:ilvl w:val="0"/>
          <w:numId w:val="7"/>
        </w:numPr>
        <w:snapToGrid w:val="0"/>
        <w:spacing w:before="60" w:beforeLines="25" w:after="60" w:afterLines="25" w:line="300" w:lineRule="auto"/>
        <w:ind w:firstLineChars="0"/>
        <w:jc w:val="both"/>
        <w:rPr>
          <w:rFonts w:eastAsia="微软雅黑"/>
          <w:i/>
          <w:szCs w:val="20"/>
        </w:rPr>
      </w:pPr>
      <w:r>
        <w:rPr>
          <w:rFonts w:eastAsia="微软雅黑"/>
          <w:i/>
          <w:szCs w:val="20"/>
        </w:rPr>
        <w:t>Introducing fast UE panel switching can bring significant performance gain, especially for cell-edge UE.</w:t>
      </w:r>
    </w:p>
    <w:p>
      <w:pPr>
        <w:widowControl w:val="0"/>
        <w:snapToGrid w:val="0"/>
        <w:spacing w:before="120" w:after="120" w:afterLines="50" w:line="300" w:lineRule="auto"/>
        <w:jc w:val="both"/>
        <w:rPr>
          <w:rFonts w:eastAsia="微软雅黑"/>
          <w:szCs w:val="20"/>
        </w:rPr>
      </w:pPr>
    </w:p>
    <w:p>
      <w:pPr>
        <w:numPr>
          <w:ilvl w:val="0"/>
          <w:numId w:val="0"/>
        </w:numPr>
        <w:snapToGrid w:val="0"/>
        <w:spacing w:before="60" w:beforeLines="25" w:after="60" w:afterLines="25" w:line="300" w:lineRule="auto"/>
        <w:ind w:left="0" w:firstLine="0"/>
        <w:jc w:val="both"/>
        <w:rPr>
          <w:lang w:val="en-GB"/>
        </w:rPr>
      </w:pPr>
      <w:r>
        <w:rPr>
          <w:rFonts w:hint="eastAsia" w:eastAsia="微软雅黑"/>
          <w:b/>
          <w:i/>
          <w:szCs w:val="20"/>
          <w:lang w:val="en-GB"/>
        </w:rPr>
        <w:t>P</w:t>
      </w:r>
      <w:r>
        <w:rPr>
          <w:rFonts w:eastAsia="微软雅黑"/>
          <w:b/>
          <w:i/>
          <w:szCs w:val="20"/>
          <w:lang w:val="en-GB"/>
        </w:rPr>
        <w:t xml:space="preserve">roposal </w:t>
      </w:r>
      <w:r>
        <w:rPr>
          <w:rFonts w:hint="eastAsia" w:eastAsia="微软雅黑"/>
          <w:b/>
          <w:i/>
          <w:szCs w:val="20"/>
        </w:rPr>
        <w:t>1</w:t>
      </w:r>
      <w:r>
        <w:rPr>
          <w:rFonts w:eastAsia="微软雅黑"/>
          <w:b/>
          <w:i/>
          <w:szCs w:val="20"/>
          <w:lang w:val="en-GB"/>
        </w:rPr>
        <w:t>:</w:t>
      </w:r>
      <w:r>
        <w:rPr>
          <w:rFonts w:hint="eastAsia" w:eastAsia="微软雅黑"/>
          <w:i/>
          <w:szCs w:val="20"/>
          <w:lang w:val="en-GB"/>
        </w:rPr>
        <w:t xml:space="preserve"> </w:t>
      </w:r>
      <w:r>
        <w:rPr>
          <w:rFonts w:eastAsia="微软雅黑"/>
          <w:i/>
          <w:szCs w:val="20"/>
          <w:lang w:val="en-GB"/>
        </w:rPr>
        <w:t>The</w:t>
      </w:r>
      <w:r>
        <w:rPr>
          <w:rFonts w:eastAsia="微软雅黑"/>
          <w:bCs/>
          <w:i/>
          <w:szCs w:val="20"/>
        </w:rPr>
        <w:t xml:space="preserve"> common TCI state pool </w:t>
      </w:r>
      <w:r>
        <w:rPr>
          <w:rFonts w:eastAsia="微软雅黑"/>
          <w:i/>
          <w:szCs w:val="20"/>
          <w:lang w:val="en-GB"/>
        </w:rPr>
        <w:t xml:space="preserve">in RRC should be supported </w:t>
      </w:r>
      <w:r>
        <w:rPr>
          <w:rFonts w:hint="eastAsia" w:eastAsia="微软雅黑"/>
          <w:i/>
          <w:szCs w:val="20"/>
        </w:rPr>
        <w:t>for</w:t>
      </w:r>
      <w:r>
        <w:rPr>
          <w:rFonts w:eastAsia="微软雅黑"/>
          <w:i/>
          <w:szCs w:val="20"/>
        </w:rPr>
        <w:t xml:space="preserve"> both joint and </w:t>
      </w:r>
      <w:r>
        <w:rPr>
          <w:rFonts w:hint="eastAsia" w:eastAsia="微软雅黑"/>
          <w:i/>
          <w:szCs w:val="20"/>
        </w:rPr>
        <w:t xml:space="preserve">separate </w:t>
      </w:r>
      <w:r>
        <w:rPr>
          <w:rFonts w:eastAsia="微软雅黑"/>
          <w:i/>
          <w:szCs w:val="20"/>
        </w:rPr>
        <w:t>DL and UL TCI state</w:t>
      </w:r>
      <w:r>
        <w:rPr>
          <w:rFonts w:hint="eastAsia" w:eastAsia="微软雅黑"/>
          <w:i/>
          <w:szCs w:val="20"/>
        </w:rPr>
        <w:t xml:space="preserve"> indication.</w:t>
      </w:r>
    </w:p>
    <w:p>
      <w:pPr>
        <w:pStyle w:val="99"/>
        <w:numPr>
          <w:ilvl w:val="0"/>
          <w:numId w:val="7"/>
        </w:numPr>
        <w:snapToGrid w:val="0"/>
        <w:spacing w:before="60" w:beforeLines="25" w:after="60" w:afterLines="25" w:line="300" w:lineRule="auto"/>
        <w:ind w:firstLineChars="0"/>
        <w:jc w:val="both"/>
        <w:rPr>
          <w:rFonts w:eastAsia="微软雅黑"/>
          <w:i/>
          <w:iCs/>
          <w:szCs w:val="20"/>
          <w:lang w:val="en-GB"/>
        </w:rPr>
      </w:pPr>
      <w:r>
        <w:rPr>
          <w:rFonts w:hint="eastAsia" w:eastAsia="微软雅黑"/>
          <w:i/>
          <w:iCs/>
          <w:szCs w:val="20"/>
        </w:rPr>
        <w:t xml:space="preserve">A </w:t>
      </w:r>
      <w:r>
        <w:rPr>
          <w:rFonts w:eastAsia="微软雅黑"/>
          <w:i/>
          <w:iCs/>
          <w:szCs w:val="20"/>
        </w:rPr>
        <w:t xml:space="preserve">TCI state </w:t>
      </w:r>
      <w:r>
        <w:rPr>
          <w:rFonts w:hint="eastAsia" w:eastAsia="微软雅黑"/>
          <w:i/>
          <w:iCs/>
          <w:szCs w:val="20"/>
        </w:rPr>
        <w:t xml:space="preserve">applied to UL </w:t>
      </w:r>
      <w:r>
        <w:rPr>
          <w:rFonts w:eastAsia="微软雅黑"/>
          <w:i/>
          <w:iCs/>
          <w:szCs w:val="20"/>
        </w:rPr>
        <w:t xml:space="preserve">should be associated with UL power control parameter(s) involving P0/alpha, PL RS, and closed loop index. </w:t>
      </w:r>
    </w:p>
    <w:p>
      <w:pPr>
        <w:pStyle w:val="99"/>
        <w:numPr>
          <w:ilvl w:val="1"/>
          <w:numId w:val="7"/>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At least P0/alpha and closed loop index should be further provided per channel/RS</w:t>
      </w:r>
    </w:p>
    <w:p>
      <w:pPr>
        <w:pStyle w:val="99"/>
        <w:numPr>
          <w:ilvl w:val="0"/>
          <w:numId w:val="7"/>
        </w:numPr>
        <w:snapToGrid w:val="0"/>
        <w:spacing w:before="60" w:beforeLines="25" w:after="60" w:afterLines="25" w:line="300" w:lineRule="auto"/>
        <w:ind w:firstLineChars="0"/>
        <w:jc w:val="both"/>
        <w:rPr>
          <w:rFonts w:eastAsia="微软雅黑"/>
          <w:i/>
          <w:iCs/>
          <w:szCs w:val="20"/>
          <w:lang w:val="en-GB"/>
        </w:rPr>
      </w:pPr>
      <w:r>
        <w:rPr>
          <w:rFonts w:eastAsia="微软雅黑"/>
          <w:i/>
          <w:iCs/>
          <w:szCs w:val="20"/>
          <w:lang w:val="en-GB"/>
        </w:rPr>
        <w:t>Note that it was agreed for the above on joint DL/UL TCI state update in RAN1#103</w:t>
      </w:r>
      <w:r>
        <w:rPr>
          <w:rFonts w:hint="eastAsia" w:eastAsia="微软雅黑"/>
          <w:i/>
          <w:iCs/>
          <w:szCs w:val="20"/>
          <w:lang w:val="en-GB"/>
        </w:rPr>
        <w:t>-</w:t>
      </w:r>
      <w:r>
        <w:rPr>
          <w:rFonts w:eastAsia="微软雅黑"/>
          <w:i/>
          <w:iCs/>
          <w:szCs w:val="20"/>
          <w:lang w:val="en-GB"/>
        </w:rPr>
        <w:t>e</w:t>
      </w:r>
    </w:p>
    <w:p>
      <w:pPr>
        <w:overflowPunct w:val="0"/>
        <w:autoSpaceDE w:val="0"/>
        <w:autoSpaceDN w:val="0"/>
        <w:adjustRightInd w:val="0"/>
        <w:snapToGrid w:val="0"/>
        <w:spacing w:before="60" w:beforeLines="25" w:after="60" w:afterLines="25" w:line="300" w:lineRule="auto"/>
        <w:jc w:val="both"/>
        <w:textAlignment w:val="baseline"/>
        <w:rPr>
          <w:rFonts w:eastAsia="宋体"/>
          <w:i/>
        </w:rPr>
      </w:pPr>
      <w:r>
        <w:rPr>
          <w:rFonts w:hint="eastAsia" w:eastAsia="微软雅黑"/>
          <w:b/>
          <w:i/>
          <w:szCs w:val="20"/>
          <w:lang w:val="en-GB"/>
        </w:rPr>
        <w:t>P</w:t>
      </w:r>
      <w:r>
        <w:rPr>
          <w:rFonts w:eastAsia="微软雅黑"/>
          <w:b/>
          <w:i/>
          <w:szCs w:val="20"/>
          <w:lang w:val="en-GB"/>
        </w:rPr>
        <w:t>roposal 2:</w:t>
      </w:r>
      <w:r>
        <w:rPr>
          <w:rFonts w:hint="eastAsia" w:eastAsia="微软雅黑"/>
          <w:i/>
          <w:szCs w:val="20"/>
          <w:lang w:val="en-GB"/>
        </w:rPr>
        <w:t xml:space="preserve"> </w:t>
      </w:r>
      <w:r>
        <w:rPr>
          <w:rFonts w:hint="eastAsia" w:eastAsia="微软雅黑"/>
          <w:i/>
          <w:szCs w:val="20"/>
        </w:rPr>
        <w:t>For intra/inter-band CA, s</w:t>
      </w:r>
      <w:r>
        <w:rPr>
          <w:rFonts w:eastAsia="微软雅黑"/>
          <w:i/>
          <w:szCs w:val="20"/>
        </w:rPr>
        <w:t xml:space="preserve">upport the </w:t>
      </w:r>
      <w:r>
        <w:rPr>
          <w:rFonts w:hint="eastAsia" w:eastAsia="微软雅黑"/>
          <w:i/>
          <w:szCs w:val="20"/>
          <w:lang w:val="en-GB"/>
        </w:rPr>
        <w:t>mechanism of sharing a single RRC TCI state pool for the set of configured CCs</w:t>
      </w:r>
      <w:r>
        <w:rPr>
          <w:rFonts w:hint="eastAsia" w:eastAsia="微软雅黑"/>
          <w:i/>
          <w:szCs w:val="20"/>
        </w:rPr>
        <w:t xml:space="preserve"> (Opt-1)</w:t>
      </w:r>
      <w:r>
        <w:rPr>
          <w:rFonts w:hint="eastAsia" w:eastAsia="宋体"/>
          <w:i/>
        </w:rPr>
        <w:t>.</w:t>
      </w:r>
    </w:p>
    <w:p>
      <w:pPr>
        <w:pStyle w:val="99"/>
        <w:numPr>
          <w:ilvl w:val="0"/>
          <w:numId w:val="7"/>
        </w:numPr>
        <w:snapToGrid w:val="0"/>
        <w:spacing w:before="60" w:beforeLines="25" w:after="60" w:afterLines="25" w:line="300" w:lineRule="auto"/>
        <w:ind w:firstLineChars="0"/>
        <w:jc w:val="both"/>
        <w:rPr>
          <w:rFonts w:eastAsia="微软雅黑"/>
          <w:i/>
          <w:szCs w:val="20"/>
          <w:lang w:val="en-GB"/>
        </w:rPr>
      </w:pPr>
      <w:r>
        <w:rPr>
          <w:rFonts w:eastAsia="宋体"/>
          <w:i/>
        </w:rPr>
        <w:t xml:space="preserve">Down-select at least one of </w:t>
      </w:r>
      <w:r>
        <w:rPr>
          <w:rFonts w:hint="eastAsia" w:eastAsia="宋体"/>
          <w:i/>
        </w:rPr>
        <w:t xml:space="preserve">the </w:t>
      </w:r>
      <w:r>
        <w:rPr>
          <w:rFonts w:eastAsia="宋体"/>
          <w:i/>
        </w:rPr>
        <w:t xml:space="preserve">following candidate solutions for determining </w:t>
      </w:r>
      <w:r>
        <w:rPr>
          <w:rFonts w:hint="eastAsia" w:eastAsia="宋体"/>
          <w:i/>
        </w:rPr>
        <w:t>QCL Type-A RS in the target CC/BWP according to the QCL Type-A RS indicated in the TCI states of reference CC/BWP</w:t>
      </w:r>
      <w:r>
        <w:rPr>
          <w:rFonts w:eastAsia="宋体"/>
          <w:i/>
        </w:rPr>
        <w:t>.</w:t>
      </w:r>
      <w:r>
        <w:rPr>
          <w:rFonts w:hint="eastAsia" w:eastAsia="宋体"/>
          <w:i/>
        </w:rPr>
        <w:t xml:space="preserve"> </w:t>
      </w:r>
    </w:p>
    <w:p>
      <w:pPr>
        <w:pStyle w:val="99"/>
        <w:numPr>
          <w:ilvl w:val="1"/>
          <w:numId w:val="7"/>
        </w:numPr>
        <w:snapToGrid w:val="0"/>
        <w:spacing w:before="60" w:beforeLines="25" w:after="60" w:afterLines="25" w:line="300" w:lineRule="auto"/>
        <w:ind w:firstLineChars="0"/>
        <w:jc w:val="both"/>
        <w:rPr>
          <w:rFonts w:eastAsia="微软雅黑"/>
          <w:i/>
          <w:szCs w:val="20"/>
          <w:lang w:val="en-GB"/>
        </w:rPr>
      </w:pPr>
      <w:r>
        <w:rPr>
          <w:rFonts w:eastAsia="宋体"/>
          <w:i/>
          <w:lang w:val="en-GB"/>
        </w:rPr>
        <w:t>Alt-1: A CC ID for QCL-Type A RS is absent in a TCI state in a reference cell, and the CC ID for QCL-Type A RS is determined according to a target CC of the TCI state.</w:t>
      </w:r>
    </w:p>
    <w:p>
      <w:pPr>
        <w:pStyle w:val="99"/>
        <w:numPr>
          <w:ilvl w:val="1"/>
          <w:numId w:val="7"/>
        </w:numPr>
        <w:snapToGrid w:val="0"/>
        <w:spacing w:before="60" w:beforeLines="25" w:after="60" w:afterLines="25" w:line="300" w:lineRule="auto"/>
        <w:ind w:firstLineChars="0"/>
        <w:jc w:val="both"/>
        <w:rPr>
          <w:rFonts w:eastAsia="微软雅黑"/>
          <w:i/>
          <w:szCs w:val="20"/>
          <w:lang w:val="en-GB"/>
        </w:rPr>
      </w:pPr>
      <w:r>
        <w:rPr>
          <w:rFonts w:eastAsia="宋体"/>
          <w:i/>
          <w:lang w:val="en-GB"/>
        </w:rPr>
        <w:t xml:space="preserve">Alt-2: </w:t>
      </w:r>
      <w:r>
        <w:rPr>
          <w:rFonts w:eastAsia="宋体"/>
          <w:i/>
        </w:rPr>
        <w:t>A</w:t>
      </w:r>
      <w:r>
        <w:rPr>
          <w:rFonts w:hint="eastAsia" w:eastAsia="宋体"/>
          <w:i/>
        </w:rPr>
        <w:t xml:space="preserve"> cell-group TCI state pool</w:t>
      </w:r>
      <w:r>
        <w:rPr>
          <w:rFonts w:eastAsia="宋体"/>
          <w:i/>
        </w:rPr>
        <w:t xml:space="preserve"> is introduced, and </w:t>
      </w:r>
      <w:r>
        <w:rPr>
          <w:rFonts w:hint="eastAsia" w:eastAsia="微软雅黑"/>
          <w:i/>
          <w:szCs w:val="20"/>
          <w:lang w:val="en-GB"/>
        </w:rPr>
        <w:t>the same resource ID</w:t>
      </w:r>
      <w:r>
        <w:rPr>
          <w:rFonts w:hint="eastAsia" w:eastAsia="微软雅黑"/>
          <w:i/>
          <w:szCs w:val="20"/>
        </w:rPr>
        <w:t xml:space="preserve"> of the </w:t>
      </w:r>
      <w:r>
        <w:rPr>
          <w:rFonts w:hint="eastAsia" w:eastAsia="微软雅黑"/>
          <w:i/>
          <w:szCs w:val="20"/>
          <w:lang w:val="en-GB"/>
        </w:rPr>
        <w:t>QCL</w:t>
      </w:r>
      <w:r>
        <w:rPr>
          <w:rFonts w:eastAsia="微软雅黑"/>
          <w:i/>
          <w:szCs w:val="20"/>
          <w:lang w:val="en-GB"/>
        </w:rPr>
        <w:t>-</w:t>
      </w:r>
      <w:r>
        <w:rPr>
          <w:rFonts w:hint="eastAsia" w:eastAsia="微软雅黑"/>
          <w:i/>
          <w:szCs w:val="20"/>
          <w:lang w:val="en-GB"/>
        </w:rPr>
        <w:t>Type</w:t>
      </w:r>
      <w:r>
        <w:rPr>
          <w:rFonts w:eastAsia="微软雅黑"/>
          <w:i/>
          <w:szCs w:val="20"/>
          <w:lang w:val="en-GB"/>
        </w:rPr>
        <w:t xml:space="preserve"> </w:t>
      </w:r>
      <w:r>
        <w:rPr>
          <w:rFonts w:hint="eastAsia" w:eastAsia="微软雅黑"/>
          <w:i/>
          <w:szCs w:val="20"/>
          <w:lang w:val="en-GB"/>
        </w:rPr>
        <w:t>A RS</w:t>
      </w:r>
      <w:r>
        <w:rPr>
          <w:rFonts w:hint="eastAsia" w:eastAsia="微软雅黑"/>
          <w:i/>
          <w:szCs w:val="20"/>
        </w:rPr>
        <w:t xml:space="preserve"> is applied to the CCs in the same CC group.</w:t>
      </w:r>
    </w:p>
    <w:p>
      <w:pPr>
        <w:pStyle w:val="99"/>
        <w:numPr>
          <w:ilvl w:val="0"/>
          <w:numId w:val="11"/>
        </w:numPr>
        <w:overflowPunct w:val="0"/>
        <w:autoSpaceDE w:val="0"/>
        <w:autoSpaceDN w:val="0"/>
        <w:adjustRightInd w:val="0"/>
        <w:snapToGrid w:val="0"/>
        <w:spacing w:before="60" w:beforeLines="25" w:after="60" w:afterLines="25" w:line="300" w:lineRule="auto"/>
        <w:ind w:firstLineChars="0"/>
        <w:jc w:val="both"/>
        <w:textAlignment w:val="baseline"/>
        <w:rPr>
          <w:rFonts w:eastAsia="宋体"/>
          <w:b/>
          <w:bCs/>
          <w:kern w:val="2"/>
          <w:sz w:val="24"/>
          <w:szCs w:val="24"/>
        </w:rPr>
      </w:pPr>
      <w:r>
        <w:rPr>
          <w:rFonts w:eastAsia="微软雅黑"/>
          <w:i/>
          <w:szCs w:val="20"/>
          <w:lang w:val="en-GB"/>
        </w:rPr>
        <w:t xml:space="preserve">Note that </w:t>
      </w:r>
      <w:r>
        <w:rPr>
          <w:rFonts w:hint="eastAsia" w:eastAsia="微软雅黑"/>
          <w:i/>
          <w:szCs w:val="20"/>
          <w:lang w:val="en-GB"/>
        </w:rPr>
        <w:t>Q</w:t>
      </w:r>
      <w:r>
        <w:rPr>
          <w:rFonts w:eastAsia="微软雅黑"/>
          <w:i/>
          <w:szCs w:val="20"/>
          <w:lang w:val="en-GB"/>
        </w:rPr>
        <w:t>CL-Type D RS in a TCI state can be applied to all CC</w:t>
      </w:r>
      <w:r>
        <w:rPr>
          <w:rFonts w:hint="eastAsia" w:eastAsia="微软雅黑"/>
          <w:i/>
          <w:szCs w:val="20"/>
        </w:rPr>
        <w:t>s</w:t>
      </w:r>
      <w:r>
        <w:rPr>
          <w:rFonts w:eastAsia="微软雅黑"/>
          <w:i/>
          <w:szCs w:val="20"/>
          <w:lang w:val="en-GB"/>
        </w:rPr>
        <w:t xml:space="preserve"> in the set of CC</w:t>
      </w:r>
      <w:r>
        <w:rPr>
          <w:rFonts w:hint="eastAsia" w:eastAsia="微软雅黑"/>
          <w:i/>
          <w:szCs w:val="20"/>
        </w:rPr>
        <w:t>s</w:t>
      </w:r>
      <w:r>
        <w:rPr>
          <w:rFonts w:eastAsia="微软雅黑"/>
          <w:i/>
          <w:szCs w:val="20"/>
        </w:rPr>
        <w:t xml:space="preserve"> for DL/UL spatial domain filter determination</w:t>
      </w:r>
      <w:r>
        <w:rPr>
          <w:rFonts w:eastAsia="微软雅黑"/>
          <w:i/>
          <w:szCs w:val="20"/>
          <w:lang w:val="en-GB"/>
        </w:rPr>
        <w:t>.</w:t>
      </w:r>
    </w:p>
    <w:p>
      <w:pPr>
        <w:overflowPunct w:val="0"/>
        <w:autoSpaceDE w:val="0"/>
        <w:autoSpaceDN w:val="0"/>
        <w:adjustRightInd w:val="0"/>
        <w:snapToGrid w:val="0"/>
        <w:spacing w:before="60" w:beforeLines="25" w:after="60" w:afterLines="25" w:line="300" w:lineRule="auto"/>
        <w:jc w:val="both"/>
        <w:textAlignment w:val="baseline"/>
        <w:rPr>
          <w:rFonts w:eastAsia="微软雅黑"/>
          <w:i/>
          <w:szCs w:val="20"/>
        </w:rPr>
      </w:pPr>
      <w:r>
        <w:rPr>
          <w:rFonts w:hint="eastAsia" w:eastAsia="微软雅黑"/>
          <w:b/>
          <w:i/>
          <w:szCs w:val="20"/>
          <w:lang w:val="en-GB"/>
        </w:rPr>
        <w:t>P</w:t>
      </w:r>
      <w:r>
        <w:rPr>
          <w:rFonts w:eastAsia="微软雅黑"/>
          <w:b/>
          <w:i/>
          <w:szCs w:val="20"/>
          <w:lang w:val="en-GB"/>
        </w:rPr>
        <w:t>roposal 3:</w:t>
      </w:r>
      <w:r>
        <w:rPr>
          <w:rFonts w:hint="eastAsia" w:eastAsia="微软雅黑"/>
          <w:i/>
          <w:szCs w:val="20"/>
          <w:lang w:val="en-GB"/>
        </w:rPr>
        <w:t xml:space="preserve"> </w:t>
      </w:r>
      <w:r>
        <w:rPr>
          <w:rFonts w:hint="eastAsia" w:eastAsia="微软雅黑"/>
          <w:i/>
          <w:szCs w:val="20"/>
        </w:rPr>
        <w:t>Support SRS can be configured as a source RS to represent a DL RX spatial filter in the unified TCI framework.</w:t>
      </w:r>
    </w:p>
    <w:p>
      <w:pPr>
        <w:pStyle w:val="99"/>
        <w:numPr>
          <w:ilvl w:val="0"/>
          <w:numId w:val="11"/>
        </w:numPr>
        <w:snapToGrid w:val="0"/>
        <w:spacing w:before="60" w:beforeLines="25" w:after="60" w:afterLines="25" w:line="300" w:lineRule="auto"/>
        <w:ind w:firstLineChars="0"/>
        <w:jc w:val="both"/>
        <w:rPr>
          <w:rFonts w:eastAsia="微软雅黑"/>
          <w:szCs w:val="20"/>
        </w:rPr>
      </w:pPr>
      <w:r>
        <w:rPr>
          <w:rFonts w:eastAsia="微软雅黑"/>
          <w:i/>
          <w:szCs w:val="20"/>
          <w:lang w:val="en-GB"/>
        </w:rPr>
        <w:t>In order to achieve UL beam refinement, RRC parameter repetition can be configured with SRS resources, e.g., beam sweeping around spatial domain filter of a DL RS.</w:t>
      </w:r>
    </w:p>
    <w:p>
      <w:pPr>
        <w:pStyle w:val="99"/>
        <w:numPr>
          <w:ilvl w:val="1"/>
          <w:numId w:val="7"/>
        </w:numPr>
        <w:snapToGrid w:val="0"/>
        <w:spacing w:before="60" w:beforeLines="25" w:after="60" w:afterLines="25" w:line="300" w:lineRule="auto"/>
        <w:ind w:firstLineChars="0"/>
        <w:jc w:val="both"/>
        <w:rPr>
          <w:rFonts w:eastAsia="宋体"/>
          <w:i/>
        </w:rPr>
      </w:pPr>
      <w:r>
        <w:rPr>
          <w:rFonts w:eastAsia="宋体"/>
          <w:i/>
        </w:rPr>
        <w:t>FFS: configuring “repetition” for SRS resource set, similar to CSI-RS resource set.</w:t>
      </w:r>
    </w:p>
    <w:p>
      <w:pPr>
        <w:pStyle w:val="99"/>
        <w:numPr>
          <w:ilvl w:val="0"/>
          <w:numId w:val="11"/>
        </w:numPr>
        <w:snapToGrid w:val="0"/>
        <w:spacing w:before="60" w:beforeLines="25" w:after="60" w:afterLines="25" w:line="300" w:lineRule="auto"/>
        <w:ind w:firstLineChars="0"/>
        <w:jc w:val="both"/>
        <w:rPr>
          <w:rFonts w:eastAsia="微软雅黑"/>
          <w:szCs w:val="20"/>
        </w:rPr>
      </w:pPr>
      <w:r>
        <w:rPr>
          <w:rFonts w:eastAsia="微软雅黑"/>
          <w:i/>
          <w:szCs w:val="20"/>
          <w:lang w:val="en-GB"/>
        </w:rPr>
        <w:t>Above is applied all types of SRS, including antenna switching, codebook, non-codebook and beam management.</w:t>
      </w:r>
    </w:p>
    <w:p>
      <w:pPr>
        <w:snapToGrid w:val="0"/>
        <w:spacing w:before="120" w:after="120" w:afterLines="50" w:line="300" w:lineRule="auto"/>
        <w:jc w:val="both"/>
        <w:rPr>
          <w:rFonts w:eastAsia="微软雅黑"/>
          <w:i/>
          <w:iCs/>
          <w:szCs w:val="20"/>
        </w:rPr>
      </w:pPr>
      <w:r>
        <w:rPr>
          <w:rFonts w:hint="eastAsia" w:eastAsia="微软雅黑"/>
          <w:b/>
          <w:bCs/>
          <w:i/>
          <w:iCs/>
          <w:szCs w:val="20"/>
        </w:rPr>
        <w:t xml:space="preserve">Proposal </w:t>
      </w:r>
      <w:r>
        <w:rPr>
          <w:rFonts w:eastAsia="微软雅黑"/>
          <w:b/>
          <w:bCs/>
          <w:i/>
          <w:iCs/>
          <w:szCs w:val="20"/>
        </w:rPr>
        <w:t>4</w:t>
      </w:r>
      <w:r>
        <w:rPr>
          <w:rFonts w:hint="eastAsia" w:eastAsia="微软雅黑"/>
          <w:b/>
          <w:bCs/>
          <w:i/>
          <w:iCs/>
          <w:szCs w:val="20"/>
        </w:rPr>
        <w:t>:</w:t>
      </w:r>
      <w:r>
        <w:rPr>
          <w:rFonts w:hint="eastAsia" w:eastAsia="微软雅黑"/>
          <w:i/>
          <w:iCs/>
          <w:szCs w:val="20"/>
        </w:rPr>
        <w:t xml:space="preserve"> Regarding the number of </w:t>
      </w:r>
      <w:r>
        <w:rPr>
          <w:rFonts w:hint="eastAsia" w:eastAsia="宋体"/>
          <w:i/>
          <w:iCs/>
          <w:szCs w:val="20"/>
        </w:rPr>
        <w:t>TCI state</w:t>
      </w:r>
      <w:r>
        <w:rPr>
          <w:rFonts w:eastAsia="宋体"/>
          <w:i/>
          <w:iCs/>
          <w:szCs w:val="20"/>
        </w:rPr>
        <w:t>s to be indicated by a single command</w:t>
      </w:r>
      <w:r>
        <w:rPr>
          <w:rFonts w:hint="eastAsia" w:eastAsia="宋体"/>
          <w:i/>
          <w:iCs/>
          <w:szCs w:val="20"/>
        </w:rPr>
        <w:t xml:space="preserve"> for </w:t>
      </w:r>
      <w:r>
        <w:rPr>
          <w:rFonts w:eastAsia="宋体"/>
          <w:i/>
          <w:iCs/>
          <w:szCs w:val="20"/>
        </w:rPr>
        <w:t>DL and/or UL transmission</w:t>
      </w:r>
      <w:r>
        <w:rPr>
          <w:rFonts w:hint="eastAsia" w:eastAsia="微软雅黑"/>
          <w:i/>
          <w:iCs/>
          <w:szCs w:val="20"/>
        </w:rPr>
        <w:t>,</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M=N=1 for sTRP should be discussed with high priority</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M&gt;1, N&gt;1 for mTRP should be postponed after sTRP framework is stable.</w:t>
      </w:r>
    </w:p>
    <w:p>
      <w:pPr>
        <w:pStyle w:val="109"/>
        <w:spacing w:before="60" w:beforeLines="25" w:after="60" w:afterLines="25"/>
        <w:ind w:firstLine="0" w:firstLineChars="0"/>
        <w:jc w:val="both"/>
        <w:rPr>
          <w:rFonts w:eastAsia="微软雅黑"/>
          <w:i/>
          <w:iCs/>
          <w:szCs w:val="20"/>
        </w:rPr>
      </w:pPr>
      <w:r>
        <w:rPr>
          <w:rFonts w:hint="eastAsia" w:eastAsia="微软雅黑"/>
          <w:b/>
          <w:bCs/>
          <w:i/>
          <w:iCs/>
          <w:szCs w:val="20"/>
        </w:rPr>
        <w:t>Proposal 5:</w:t>
      </w:r>
      <w:r>
        <w:rPr>
          <w:rFonts w:hint="eastAsia" w:eastAsia="微软雅黑"/>
          <w:i/>
          <w:iCs/>
          <w:szCs w:val="20"/>
        </w:rPr>
        <w:t xml:space="preserve"> </w:t>
      </w:r>
      <w:r>
        <w:rPr>
          <w:rFonts w:eastAsia="微软雅黑"/>
          <w:i/>
          <w:iCs/>
          <w:szCs w:val="20"/>
        </w:rPr>
        <w:t>PUSCH port(s) should be mapped with SRS port(s) in a SRS resource that is analogous to Rel.15/16</w:t>
      </w:r>
    </w:p>
    <w:p>
      <w:pPr>
        <w:pStyle w:val="109"/>
        <w:numPr>
          <w:ilvl w:val="0"/>
          <w:numId w:val="7"/>
        </w:numPr>
        <w:spacing w:before="60" w:beforeLines="25" w:after="60" w:afterLines="25"/>
        <w:ind w:firstLineChars="0"/>
        <w:jc w:val="both"/>
        <w:rPr>
          <w:rFonts w:eastAsiaTheme="minorEastAsia"/>
          <w:i/>
          <w:iCs/>
        </w:rPr>
      </w:pPr>
      <w:r>
        <w:rPr>
          <w:rFonts w:eastAsia="微软雅黑"/>
          <w:i/>
          <w:iCs/>
          <w:szCs w:val="20"/>
        </w:rPr>
        <w:t xml:space="preserve">The SRS resource is determined according to the </w:t>
      </w:r>
      <w:r>
        <w:rPr>
          <w:rFonts w:eastAsiaTheme="minorEastAsia"/>
          <w:i/>
          <w:iCs/>
          <w:szCs w:val="20"/>
        </w:rPr>
        <w:t>indicated</w:t>
      </w:r>
      <w:r>
        <w:rPr>
          <w:rFonts w:eastAsia="微软雅黑"/>
          <w:i/>
          <w:iCs/>
          <w:szCs w:val="20"/>
        </w:rPr>
        <w:t xml:space="preserve"> TCI state</w:t>
      </w:r>
      <w:r>
        <w:rPr>
          <w:rFonts w:hint="eastAsia" w:eastAsia="微软雅黑"/>
          <w:i/>
          <w:iCs/>
          <w:szCs w:val="20"/>
        </w:rPr>
        <w:t xml:space="preserve"> </w:t>
      </w:r>
      <w:r>
        <w:rPr>
          <w:rFonts w:eastAsia="微软雅黑"/>
          <w:i/>
          <w:iCs/>
          <w:szCs w:val="20"/>
        </w:rPr>
        <w:t>by DCI</w:t>
      </w:r>
      <w:r>
        <w:rPr>
          <w:rFonts w:hint="eastAsia" w:eastAsia="微软雅黑"/>
          <w:i/>
          <w:iCs/>
          <w:szCs w:val="20"/>
        </w:rPr>
        <w:t>.</w:t>
      </w:r>
    </w:p>
    <w:p>
      <w:pPr>
        <w:pStyle w:val="109"/>
        <w:snapToGrid w:val="0"/>
        <w:spacing w:before="120" w:after="120" w:afterLines="50" w:line="300" w:lineRule="auto"/>
        <w:ind w:firstLine="0" w:firstLineChars="0"/>
        <w:jc w:val="both"/>
        <w:rPr>
          <w:rFonts w:eastAsia="微软雅黑"/>
          <w:i/>
          <w:iCs/>
          <w:szCs w:val="20"/>
        </w:rPr>
      </w:pPr>
      <w:r>
        <w:rPr>
          <w:rFonts w:hint="eastAsia" w:eastAsia="微软雅黑"/>
          <w:b/>
          <w:bCs/>
          <w:i/>
          <w:iCs/>
          <w:szCs w:val="20"/>
        </w:rPr>
        <w:t>Proposal 6:</w:t>
      </w:r>
      <w:r>
        <w:rPr>
          <w:rFonts w:hint="eastAsia" w:eastAsia="微软雅黑"/>
          <w:i/>
          <w:iCs/>
          <w:szCs w:val="20"/>
        </w:rPr>
        <w:t xml:space="preserve"> Regarding </w:t>
      </w:r>
      <w:r>
        <w:rPr>
          <w:rFonts w:eastAsia="微软雅黑"/>
          <w:i/>
          <w:iCs/>
          <w:szCs w:val="20"/>
        </w:rPr>
        <w:t>additional</w:t>
      </w:r>
      <w:r>
        <w:rPr>
          <w:rFonts w:hint="eastAsia" w:eastAsia="微软雅黑"/>
          <w:i/>
          <w:iCs/>
          <w:szCs w:val="20"/>
        </w:rPr>
        <w:t xml:space="preserve"> DCI format indicating the common TCI state,</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宋体"/>
          <w:i/>
          <w:iCs/>
        </w:rPr>
        <w:t xml:space="preserve">DCI format 0_1 and 0_2 can be further used for separate beam indication, </w:t>
      </w:r>
    </w:p>
    <w:p>
      <w:pPr>
        <w:pStyle w:val="109"/>
        <w:numPr>
          <w:ilvl w:val="1"/>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SRI field in DCI format 0_1 and 0_2 can be replaced by TCI field, where a TCI state can be associated with SRS resource.</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eastAsia="宋体"/>
          <w:i/>
          <w:iCs/>
        </w:rPr>
        <w:t>Group common DCI format and new DCI format can be further studied for serving a group of UEs with similar mobility trajectory.</w:t>
      </w:r>
    </w:p>
    <w:p>
      <w:pPr>
        <w:pStyle w:val="109"/>
        <w:snapToGrid w:val="0"/>
        <w:spacing w:before="120" w:after="120" w:afterLines="50" w:line="300" w:lineRule="auto"/>
        <w:ind w:firstLine="0" w:firstLineChars="0"/>
        <w:jc w:val="both"/>
        <w:rPr>
          <w:i/>
          <w:iCs/>
        </w:rPr>
      </w:pPr>
      <w:r>
        <w:rPr>
          <w:rFonts w:hint="eastAsia" w:eastAsia="微软雅黑"/>
          <w:b/>
          <w:bCs/>
          <w:i/>
          <w:iCs/>
          <w:szCs w:val="20"/>
        </w:rPr>
        <w:t>Proposal 7:</w:t>
      </w:r>
      <w:r>
        <w:rPr>
          <w:rFonts w:hint="eastAsia" w:eastAsia="微软雅黑"/>
          <w:i/>
          <w:iCs/>
          <w:szCs w:val="20"/>
        </w:rPr>
        <w:t xml:space="preserve"> Regarding </w:t>
      </w:r>
      <w:r>
        <w:rPr>
          <w:rFonts w:eastAsia="微软雅黑"/>
          <w:i/>
          <w:iCs/>
          <w:szCs w:val="20"/>
        </w:rPr>
        <w:t>ACK</w:t>
      </w:r>
      <w:r>
        <w:rPr>
          <w:rFonts w:hint="eastAsia" w:eastAsia="微软雅黑"/>
          <w:i/>
          <w:iCs/>
          <w:szCs w:val="20"/>
        </w:rPr>
        <w:t xml:space="preserve"> mechanism for the DCI format indicating the common TCI state,</w:t>
      </w:r>
      <w:r>
        <w:rPr>
          <w:rFonts w:eastAsia="宋体"/>
          <w:i/>
          <w:iCs/>
        </w:rPr>
        <w:t xml:space="preserve"> a</w:t>
      </w:r>
      <w:r>
        <w:rPr>
          <w:i/>
          <w:iCs/>
        </w:rPr>
        <w:t xml:space="preserve"> new ACK mechanism directly in response to decoding DCI format 1_1 and 1_2</w:t>
      </w:r>
      <w:r>
        <w:rPr>
          <w:rFonts w:eastAsia="宋体"/>
          <w:i/>
          <w:iCs/>
        </w:rPr>
        <w:t xml:space="preserve"> </w:t>
      </w:r>
      <w:r>
        <w:rPr>
          <w:i/>
          <w:iCs/>
        </w:rPr>
        <w:t>should be supported.</w:t>
      </w:r>
    </w:p>
    <w:p>
      <w:pPr>
        <w:pStyle w:val="109"/>
        <w:numPr>
          <w:ilvl w:val="0"/>
          <w:numId w:val="7"/>
        </w:numPr>
        <w:snapToGrid w:val="0"/>
        <w:spacing w:before="120" w:after="120" w:afterLines="50" w:line="300" w:lineRule="auto"/>
        <w:ind w:firstLineChars="0"/>
        <w:jc w:val="both"/>
      </w:pPr>
      <w:r>
        <w:rPr>
          <w:rFonts w:eastAsia="宋体"/>
          <w:i/>
          <w:iCs/>
        </w:rPr>
        <w:t>ACK mechanism corresponding SPS PDSCH release</w:t>
      </w:r>
      <w:r>
        <w:rPr>
          <w:rFonts w:hint="eastAsia" w:eastAsia="宋体"/>
          <w:i/>
          <w:iCs/>
        </w:rPr>
        <w:t xml:space="preserve"> </w:t>
      </w:r>
      <w:r>
        <w:rPr>
          <w:rFonts w:eastAsia="宋体"/>
          <w:i/>
          <w:iCs/>
        </w:rPr>
        <w:t>can be considered as a starting point.</w:t>
      </w:r>
    </w:p>
    <w:p>
      <w:pPr>
        <w:snapToGrid w:val="0"/>
        <w:spacing w:before="120" w:after="120" w:afterLines="50" w:line="300" w:lineRule="auto"/>
        <w:jc w:val="both"/>
        <w:rPr>
          <w:rFonts w:eastAsia="微软雅黑"/>
          <w:i/>
          <w:iCs/>
          <w:szCs w:val="20"/>
        </w:rPr>
      </w:pPr>
      <w:r>
        <w:rPr>
          <w:rFonts w:hint="eastAsia" w:eastAsia="微软雅黑"/>
          <w:b/>
          <w:bCs/>
          <w:i/>
          <w:iCs/>
          <w:szCs w:val="20"/>
        </w:rPr>
        <w:t>Proposal 8:</w:t>
      </w:r>
      <w:r>
        <w:rPr>
          <w:rFonts w:hint="eastAsia" w:eastAsia="微软雅黑"/>
          <w:i/>
          <w:iCs/>
          <w:szCs w:val="20"/>
        </w:rPr>
        <w:t xml:space="preserve"> Regarding application time of the TCI state indication, the following alternatives from RAN1#103e, should be </w:t>
      </w:r>
      <w:r>
        <w:rPr>
          <w:rFonts w:eastAsia="微软雅黑"/>
          <w:i/>
          <w:iCs/>
          <w:szCs w:val="20"/>
        </w:rPr>
        <w:t>supported</w:t>
      </w:r>
      <w:r>
        <w:rPr>
          <w:rFonts w:hint="eastAsia" w:eastAsia="微软雅黑"/>
          <w:i/>
          <w:iCs/>
          <w:szCs w:val="20"/>
        </w:rPr>
        <w:t>:</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Alt2: the first slot that is at least X ms or Y symbols after the acknowledgment of the joint or separate DL/UL beam indication</w:t>
      </w:r>
    </w:p>
    <w:p>
      <w:pPr>
        <w:pStyle w:val="109"/>
        <w:numPr>
          <w:ilvl w:val="0"/>
          <w:numId w:val="7"/>
        </w:numPr>
        <w:snapToGrid w:val="0"/>
        <w:spacing w:before="60" w:beforeLines="25" w:after="60" w:afterLines="25" w:line="300" w:lineRule="auto"/>
        <w:ind w:firstLineChars="0"/>
        <w:jc w:val="both"/>
        <w:rPr>
          <w:rFonts w:eastAsia="微软雅黑"/>
          <w:i/>
          <w:iCs/>
          <w:szCs w:val="20"/>
        </w:rPr>
      </w:pPr>
      <w:r>
        <w:rPr>
          <w:rFonts w:hint="eastAsia" w:eastAsia="微软雅黑"/>
          <w:i/>
          <w:iCs/>
          <w:szCs w:val="20"/>
        </w:rPr>
        <w:t>Alt1: The beam application time can be configured by the gNB based on UE capability</w:t>
      </w:r>
    </w:p>
    <w:p>
      <w:pPr>
        <w:pStyle w:val="109"/>
        <w:numPr>
          <w:ilvl w:val="1"/>
          <w:numId w:val="7"/>
        </w:numPr>
        <w:snapToGrid w:val="0"/>
        <w:spacing w:before="60" w:beforeLines="25" w:after="60" w:afterLines="25" w:line="300" w:lineRule="auto"/>
        <w:ind w:firstLineChars="0"/>
        <w:jc w:val="both"/>
      </w:pPr>
      <w:r>
        <w:rPr>
          <w:rFonts w:hint="eastAsia" w:eastAsia="微软雅黑"/>
          <w:i/>
          <w:iCs/>
          <w:szCs w:val="20"/>
        </w:rPr>
        <w:t>Furthermore, the beam application time can also be indicated by the DCI.</w:t>
      </w:r>
    </w:p>
    <w:p>
      <w:pPr>
        <w:snapToGrid w:val="0"/>
        <w:spacing w:before="120" w:after="120" w:afterLines="50" w:line="300" w:lineRule="auto"/>
        <w:jc w:val="both"/>
        <w:rPr>
          <w:rFonts w:eastAsia="微软雅黑"/>
          <w:i/>
          <w:iCs/>
          <w:szCs w:val="20"/>
        </w:rPr>
      </w:pPr>
      <w:r>
        <w:rPr>
          <w:rFonts w:eastAsia="微软雅黑"/>
          <w:b/>
          <w:bCs/>
          <w:i/>
          <w:iCs/>
          <w:szCs w:val="20"/>
        </w:rPr>
        <w:t xml:space="preserve">Proposal </w:t>
      </w:r>
      <w:r>
        <w:rPr>
          <w:rFonts w:hint="eastAsia" w:eastAsia="微软雅黑"/>
          <w:b/>
          <w:bCs/>
          <w:i/>
          <w:iCs/>
          <w:szCs w:val="20"/>
        </w:rPr>
        <w:t>9</w:t>
      </w:r>
      <w:r>
        <w:rPr>
          <w:rFonts w:eastAsia="微软雅黑"/>
          <w:b/>
          <w:bCs/>
          <w:i/>
          <w:iCs/>
          <w:szCs w:val="20"/>
        </w:rPr>
        <w:t>:</w:t>
      </w:r>
      <w:r>
        <w:rPr>
          <w:rFonts w:eastAsia="微软雅黑"/>
          <w:i/>
          <w:iCs/>
          <w:szCs w:val="20"/>
        </w:rPr>
        <w:t xml:space="preserve"> Regarding applicable scope of the indicated common TCI state:</w:t>
      </w:r>
    </w:p>
    <w:p>
      <w:pPr>
        <w:pStyle w:val="109"/>
        <w:numPr>
          <w:ilvl w:val="0"/>
          <w:numId w:val="7"/>
        </w:numPr>
        <w:snapToGrid w:val="0"/>
        <w:spacing w:before="60" w:beforeLines="25" w:after="60" w:afterLines="25" w:line="300" w:lineRule="auto"/>
        <w:ind w:firstLineChars="0"/>
        <w:jc w:val="both"/>
        <w:rPr>
          <w:i/>
          <w:iCs/>
        </w:rPr>
      </w:pPr>
      <w:r>
        <w:rPr>
          <w:rFonts w:eastAsia="宋体"/>
          <w:i/>
        </w:rPr>
        <w:t>Two modes: mode-1 “DL+UL” and mode-2 “DL only or UL only” can be configured in RRC for presenting joint and separate TCI state indication, respectively.</w:t>
      </w:r>
    </w:p>
    <w:p>
      <w:pPr>
        <w:pStyle w:val="109"/>
        <w:numPr>
          <w:ilvl w:val="0"/>
          <w:numId w:val="7"/>
        </w:numPr>
        <w:snapToGrid w:val="0"/>
        <w:spacing w:before="60" w:beforeLines="25" w:after="60" w:afterLines="25" w:line="300" w:lineRule="auto"/>
        <w:ind w:firstLineChars="0"/>
        <w:jc w:val="both"/>
        <w:rPr>
          <w:i/>
          <w:iCs/>
        </w:rPr>
      </w:pPr>
      <w:r>
        <w:rPr>
          <w:rFonts w:eastAsia="宋体"/>
          <w:i/>
          <w:iCs/>
        </w:rPr>
        <w:t xml:space="preserve">Regarding </w:t>
      </w:r>
      <w:r>
        <w:rPr>
          <w:rFonts w:eastAsia="宋体"/>
          <w:i/>
        </w:rPr>
        <w:t>mode-2 “DL only or UL only” (i.e., separate TCI state indication), a newly introduced DCI field or a reserved field in DCI can be considered to be used for further indicating the candidates of applicable scope (i.e., DL-only and UL-only).</w:t>
      </w:r>
    </w:p>
    <w:p>
      <w:pPr>
        <w:snapToGrid w:val="0"/>
        <w:spacing w:before="120" w:after="120" w:afterLines="50" w:line="300" w:lineRule="auto"/>
        <w:jc w:val="both"/>
        <w:rPr>
          <w:rFonts w:eastAsia="宋体"/>
          <w:i/>
        </w:rPr>
      </w:pPr>
      <w:r>
        <w:rPr>
          <w:rFonts w:hint="eastAsia" w:eastAsia="微软雅黑"/>
          <w:b/>
          <w:bCs/>
          <w:i/>
          <w:iCs/>
          <w:szCs w:val="20"/>
        </w:rPr>
        <w:t>Proposal 10:</w:t>
      </w:r>
      <w:r>
        <w:rPr>
          <w:rFonts w:eastAsia="微软雅黑"/>
          <w:i/>
          <w:iCs/>
          <w:szCs w:val="20"/>
        </w:rPr>
        <w:t xml:space="preserve"> </w:t>
      </w:r>
      <w:r>
        <w:rPr>
          <w:rFonts w:eastAsia="宋体"/>
          <w:i/>
        </w:rPr>
        <w:t>Further study the mechanism of saving latency about “first SSB transmission after MAC-CE command” for known TCI state switching.</w:t>
      </w:r>
    </w:p>
    <w:p>
      <w:pPr>
        <w:pStyle w:val="109"/>
        <w:numPr>
          <w:ilvl w:val="0"/>
          <w:numId w:val="7"/>
        </w:numPr>
        <w:snapToGrid w:val="0"/>
        <w:spacing w:before="60" w:beforeLines="25" w:after="60" w:afterLines="25" w:line="300" w:lineRule="auto"/>
        <w:ind w:firstLineChars="0"/>
        <w:jc w:val="both"/>
        <w:rPr>
          <w:rFonts w:eastAsia="宋体"/>
          <w:i/>
        </w:rPr>
      </w:pPr>
      <w:r>
        <w:rPr>
          <w:rFonts w:hint="eastAsia" w:eastAsia="宋体"/>
          <w:i/>
        </w:rPr>
        <w:t>F</w:t>
      </w:r>
      <w:r>
        <w:rPr>
          <w:rFonts w:eastAsia="宋体"/>
          <w:i/>
        </w:rPr>
        <w:t>or instance, UE may track one or more SSB(s) from a SSB pool that is explicitly activated by MAC-CE</w:t>
      </w:r>
    </w:p>
    <w:p>
      <w:pPr>
        <w:snapToGrid w:val="0"/>
        <w:spacing w:before="60" w:beforeLines="25" w:after="60" w:afterLines="25" w:line="300" w:lineRule="auto"/>
        <w:jc w:val="both"/>
        <w:rPr>
          <w:rFonts w:eastAsia="宋体"/>
          <w:i/>
        </w:rPr>
      </w:pPr>
      <w:r>
        <w:rPr>
          <w:rFonts w:hint="eastAsia"/>
          <w:b/>
          <w:bCs/>
          <w:i/>
          <w:iCs/>
        </w:rPr>
        <w:t xml:space="preserve">Proposal </w:t>
      </w:r>
      <w:r>
        <w:rPr>
          <w:rFonts w:hint="eastAsia" w:eastAsia="宋体"/>
          <w:b/>
          <w:bCs/>
          <w:i/>
          <w:iCs/>
        </w:rPr>
        <w:t>11</w:t>
      </w:r>
      <w:r>
        <w:rPr>
          <w:rFonts w:hint="eastAsia"/>
          <w:b/>
          <w:bCs/>
          <w:i/>
          <w:iCs/>
        </w:rPr>
        <w:t>:</w:t>
      </w:r>
      <w:r>
        <w:rPr>
          <w:b/>
          <w:bCs/>
          <w:i/>
          <w:iCs/>
        </w:rPr>
        <w:t xml:space="preserve"> </w:t>
      </w:r>
      <w:r>
        <w:rPr>
          <w:rFonts w:eastAsia="微软雅黑"/>
          <w:i/>
          <w:szCs w:val="20"/>
        </w:rPr>
        <w:t>Regarding L1/L2-centric inter-cell mobility, support</w:t>
      </w:r>
      <w:r>
        <w:rPr>
          <w:rFonts w:eastAsia="宋体"/>
          <w:i/>
        </w:rPr>
        <w:t xml:space="preserve"> at least one of the following methods for </w:t>
      </w:r>
      <w:r>
        <w:rPr>
          <w:rFonts w:eastAsia="微软雅黑"/>
          <w:i/>
          <w:szCs w:val="20"/>
        </w:rPr>
        <w:t>reducing the delay of applying the new TCI state including RS resource of neighbor cell, i.e., corresponding to unknown TCI state switching</w:t>
      </w:r>
      <w:r>
        <w:rPr>
          <w:rFonts w:eastAsia="宋体"/>
          <w:i/>
        </w:rPr>
        <w:t>.</w:t>
      </w:r>
    </w:p>
    <w:p>
      <w:pPr>
        <w:pStyle w:val="109"/>
        <w:numPr>
          <w:ilvl w:val="0"/>
          <w:numId w:val="7"/>
        </w:numPr>
        <w:snapToGrid w:val="0"/>
        <w:spacing w:before="60" w:beforeLines="25" w:after="60" w:afterLines="25" w:line="300" w:lineRule="auto"/>
        <w:ind w:firstLineChars="0"/>
        <w:jc w:val="both"/>
        <w:rPr>
          <w:rFonts w:eastAsia="宋体"/>
          <w:i/>
        </w:rPr>
      </w:pPr>
      <w:r>
        <w:rPr>
          <w:rFonts w:eastAsia="宋体"/>
          <w:i/>
        </w:rPr>
        <w:t>Method-1: The gNB can trigger an L1 reporting for a neighboring cell.</w:t>
      </w:r>
    </w:p>
    <w:p>
      <w:pPr>
        <w:pStyle w:val="109"/>
        <w:numPr>
          <w:ilvl w:val="1"/>
          <w:numId w:val="7"/>
        </w:numPr>
        <w:snapToGrid w:val="0"/>
        <w:spacing w:before="60" w:beforeLines="25" w:after="60" w:afterLines="25" w:line="300" w:lineRule="auto"/>
        <w:ind w:firstLineChars="0"/>
        <w:jc w:val="both"/>
        <w:rPr>
          <w:rFonts w:eastAsia="宋体"/>
          <w:i/>
        </w:rPr>
      </w:pPr>
      <w:r>
        <w:rPr>
          <w:rFonts w:eastAsia="宋体"/>
          <w:i/>
        </w:rPr>
        <w:t>For instance, a new MAC-CE can be introduced for activating PCI(s), and CMR/IMR configured in MeasObject can be implicitly derived according to the activated PCI instead of according to any further RRC reconfiguration.</w:t>
      </w:r>
    </w:p>
    <w:p>
      <w:pPr>
        <w:pStyle w:val="109"/>
        <w:numPr>
          <w:ilvl w:val="0"/>
          <w:numId w:val="7"/>
        </w:numPr>
        <w:snapToGrid w:val="0"/>
        <w:spacing w:before="60" w:beforeLines="25" w:after="60" w:afterLines="25" w:line="300" w:lineRule="auto"/>
        <w:ind w:firstLineChars="0"/>
        <w:jc w:val="both"/>
        <w:rPr>
          <w:rFonts w:eastAsia="宋体"/>
          <w:i/>
        </w:rPr>
      </w:pPr>
      <w:r>
        <w:rPr>
          <w:rFonts w:eastAsia="宋体"/>
          <w:i/>
        </w:rPr>
        <w:t>Method-2: Beam-level event-driven mechanism for L1/L2-centric inter-cell mobility,</w:t>
      </w:r>
    </w:p>
    <w:p>
      <w:pPr>
        <w:pStyle w:val="109"/>
        <w:numPr>
          <w:ilvl w:val="1"/>
          <w:numId w:val="7"/>
        </w:numPr>
        <w:snapToGrid w:val="0"/>
        <w:spacing w:before="60" w:beforeLines="25" w:after="60" w:afterLines="25" w:line="300" w:lineRule="auto"/>
        <w:ind w:firstLineChars="0"/>
        <w:jc w:val="both"/>
        <w:rPr>
          <w:rFonts w:eastAsia="宋体"/>
          <w:i/>
        </w:rPr>
      </w:pPr>
      <w:r>
        <w:rPr>
          <w:rFonts w:eastAsia="宋体"/>
          <w:i/>
        </w:rPr>
        <w:t>For instance, L1-RSRP reporting involving new candidate beams and neighboring cell information (e.g., PCI) can be carried by a MAC-CE after initialized by an event triggered by L3 mobility measurement.</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2</w:t>
      </w:r>
      <w:r>
        <w:rPr>
          <w:rFonts w:eastAsia="微软雅黑"/>
          <w:b/>
          <w:i/>
          <w:szCs w:val="20"/>
        </w:rPr>
        <w:t>:</w:t>
      </w:r>
      <w:r>
        <w:rPr>
          <w:rFonts w:hint="eastAsia" w:eastAsia="微软雅黑"/>
          <w:b/>
          <w:i/>
          <w:szCs w:val="20"/>
        </w:rPr>
        <w:t xml:space="preserve"> </w:t>
      </w:r>
      <w:r>
        <w:rPr>
          <w:rFonts w:eastAsia="微软雅黑"/>
          <w:i/>
          <w:szCs w:val="20"/>
        </w:rPr>
        <w:t>For UE-initialized UL panel selection/activation, information about state(s) of UE panel(s) can be reported along with panel-specific group based reporting.</w:t>
      </w:r>
    </w:p>
    <w:p>
      <w:pPr>
        <w:pStyle w:val="109"/>
        <w:numPr>
          <w:ilvl w:val="0"/>
          <w:numId w:val="7"/>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Candidate state(s) of UE panel(s) to be reported comprises active state for both DL and UL, active state for DL only;</w:t>
      </w:r>
    </w:p>
    <w:p>
      <w:pPr>
        <w:pStyle w:val="109"/>
        <w:numPr>
          <w:ilvl w:val="0"/>
          <w:numId w:val="7"/>
        </w:numPr>
        <w:overflowPunct w:val="0"/>
        <w:autoSpaceDE w:val="0"/>
        <w:autoSpaceDN w:val="0"/>
        <w:adjustRightInd w:val="0"/>
        <w:snapToGrid w:val="0"/>
        <w:spacing w:before="60" w:beforeLines="25" w:after="60" w:afterLines="25" w:line="300" w:lineRule="auto"/>
        <w:ind w:firstLineChars="0"/>
        <w:jc w:val="both"/>
        <w:textAlignment w:val="baseline"/>
        <w:rPr>
          <w:rFonts w:eastAsiaTheme="minorEastAsia"/>
          <w:i/>
          <w:szCs w:val="20"/>
        </w:rPr>
      </w:pPr>
      <w:r>
        <w:rPr>
          <w:rFonts w:eastAsiaTheme="minorEastAsia"/>
          <w:i/>
          <w:szCs w:val="20"/>
        </w:rPr>
        <w:t>The maximum number of antenna groups and activated antenna groups are based on UE capability signaling, and the global ID for UE panel(s) is used for reporting and indication</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3</w:t>
      </w:r>
      <w:r>
        <w:rPr>
          <w:rFonts w:eastAsia="微软雅黑"/>
          <w:b/>
          <w:i/>
          <w:szCs w:val="20"/>
        </w:rPr>
        <w:t>:</w:t>
      </w:r>
      <w:r>
        <w:rPr>
          <w:rFonts w:hint="eastAsia" w:eastAsia="微软雅黑"/>
          <w:b/>
          <w:i/>
          <w:szCs w:val="20"/>
        </w:rPr>
        <w:t xml:space="preserve"> </w:t>
      </w:r>
      <w:r>
        <w:rPr>
          <w:i/>
          <w:szCs w:val="20"/>
        </w:rPr>
        <w:t>Besides UE-initiated UL panel selection/activation, NW-initiated panel selection/activation should also be supported.</w:t>
      </w:r>
    </w:p>
    <w:p>
      <w:pPr>
        <w:numPr>
          <w:ilvl w:val="0"/>
          <w:numId w:val="0"/>
        </w:numPr>
        <w:snapToGrid w:val="0"/>
        <w:spacing w:before="60" w:beforeLines="25" w:after="60" w:afterLines="25" w:line="240" w:lineRule="auto"/>
        <w:ind w:left="0" w:firstLine="0"/>
        <w:jc w:val="both"/>
        <w:rPr>
          <w:rFonts w:eastAsia="微软雅黑"/>
          <w:i/>
          <w:szCs w:val="20"/>
        </w:rPr>
      </w:pPr>
      <w:r>
        <w:rPr>
          <w:rFonts w:eastAsia="微软雅黑"/>
          <w:b/>
          <w:i/>
          <w:szCs w:val="20"/>
        </w:rPr>
        <w:t>Proposal 1</w:t>
      </w:r>
      <w:r>
        <w:rPr>
          <w:rFonts w:hint="eastAsia" w:eastAsia="微软雅黑"/>
          <w:b/>
          <w:i/>
          <w:szCs w:val="20"/>
        </w:rPr>
        <w:t>4</w:t>
      </w:r>
      <w:r>
        <w:rPr>
          <w:rFonts w:eastAsia="微软雅黑"/>
          <w:b/>
          <w:i/>
          <w:szCs w:val="20"/>
        </w:rPr>
        <w:t>:</w:t>
      </w:r>
      <w:r>
        <w:rPr>
          <w:rFonts w:hint="eastAsia" w:eastAsia="微软雅黑"/>
          <w:b/>
          <w:i/>
          <w:szCs w:val="20"/>
        </w:rPr>
        <w:t xml:space="preserve"> </w:t>
      </w:r>
      <w:r>
        <w:rPr>
          <w:rFonts w:eastAsia="微软雅黑"/>
          <w:i/>
          <w:szCs w:val="20"/>
        </w:rPr>
        <w:t>Sounding procedure for antenna switching can be further studied for supporting UE fast panel switching.</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5</w:t>
      </w:r>
      <w:r>
        <w:rPr>
          <w:rFonts w:eastAsia="微软雅黑"/>
          <w:b/>
          <w:i/>
          <w:szCs w:val="20"/>
        </w:rPr>
        <w:t>:</w:t>
      </w:r>
      <w:r>
        <w:rPr>
          <w:rFonts w:hint="eastAsia" w:eastAsia="微软雅黑"/>
          <w:b/>
          <w:i/>
          <w:szCs w:val="20"/>
        </w:rPr>
        <w:t xml:space="preserve"> </w:t>
      </w:r>
      <w:r>
        <w:rPr>
          <w:rFonts w:eastAsia="微软雅黑"/>
          <w:i/>
          <w:szCs w:val="20"/>
        </w:rPr>
        <w:t>Beam/panel-specific P-MPR is introduced in UL power control framework.</w:t>
      </w:r>
    </w:p>
    <w:p>
      <w:pPr>
        <w:pStyle w:val="109"/>
        <w:numPr>
          <w:ilvl w:val="0"/>
          <w:numId w:val="7"/>
        </w:numPr>
        <w:snapToGrid w:val="0"/>
        <w:spacing w:before="60" w:beforeLines="25" w:after="60" w:afterLines="25" w:line="300" w:lineRule="auto"/>
        <w:ind w:firstLineChars="0"/>
        <w:jc w:val="both"/>
        <w:rPr>
          <w:rFonts w:eastAsiaTheme="minorEastAsia"/>
          <w:i/>
          <w:szCs w:val="20"/>
        </w:rPr>
      </w:pPr>
      <w:r>
        <w:rPr>
          <w:rFonts w:hint="eastAsia" w:eastAsia="微软雅黑"/>
          <w:i/>
          <w:szCs w:val="20"/>
        </w:rPr>
        <w:t>For instance,</w:t>
      </w:r>
      <w:r>
        <w:rPr>
          <w:rFonts w:eastAsia="微软雅黑"/>
          <w:i/>
          <w:szCs w:val="20"/>
        </w:rPr>
        <w:t xml:space="preserve"> “</w:t>
      </w:r>
      <w:r>
        <w:rPr>
          <w:rFonts w:hint="eastAsia" w:eastAsia="微软雅黑"/>
          <w:i/>
          <w:szCs w:val="20"/>
        </w:rPr>
        <w:t>P-MPR</w:t>
      </w:r>
      <w:r>
        <w:rPr>
          <w:rFonts w:hint="eastAsia" w:eastAsia="微软雅黑"/>
          <w:i/>
          <w:szCs w:val="20"/>
          <w:vertAlign w:val="subscript"/>
        </w:rPr>
        <w:t>f,c</w:t>
      </w:r>
      <w:r>
        <w:rPr>
          <w:rFonts w:eastAsia="微软雅黑"/>
          <w:i/>
          <w:szCs w:val="20"/>
        </w:rPr>
        <w:t xml:space="preserve">” </w:t>
      </w:r>
      <w:r>
        <w:rPr>
          <w:rFonts w:hint="eastAsia" w:eastAsia="微软雅黑"/>
          <w:i/>
          <w:szCs w:val="20"/>
        </w:rPr>
        <w:t xml:space="preserve">is replaced by </w:t>
      </w:r>
      <w:r>
        <w:rPr>
          <w:rFonts w:eastAsia="微软雅黑"/>
          <w:i/>
          <w:szCs w:val="20"/>
        </w:rPr>
        <w:t>“</w:t>
      </w:r>
      <w:r>
        <w:rPr>
          <w:rFonts w:hint="eastAsia" w:eastAsia="微软雅黑"/>
          <w:i/>
          <w:szCs w:val="20"/>
        </w:rPr>
        <w:t>P-MPR</w:t>
      </w:r>
      <w:r>
        <w:rPr>
          <w:rFonts w:hint="eastAsia" w:eastAsia="微软雅黑"/>
          <w:i/>
          <w:szCs w:val="20"/>
          <w:vertAlign w:val="subscript"/>
        </w:rPr>
        <w:t>s,f,c</w:t>
      </w:r>
      <w:r>
        <w:rPr>
          <w:rFonts w:eastAsia="微软雅黑"/>
          <w:i/>
          <w:szCs w:val="20"/>
        </w:rPr>
        <w:t>”</w:t>
      </w:r>
      <w:r>
        <w:rPr>
          <w:rFonts w:hint="eastAsia" w:eastAsia="微软雅黑"/>
          <w:i/>
          <w:szCs w:val="20"/>
        </w:rPr>
        <w:t xml:space="preserve"> where s denotes the UL beam</w:t>
      </w:r>
      <w:r>
        <w:rPr>
          <w:rFonts w:eastAsia="微软雅黑"/>
          <w:i/>
          <w:szCs w:val="20"/>
        </w:rPr>
        <w:t>/panel</w:t>
      </w:r>
      <w:r>
        <w:rPr>
          <w:rFonts w:hint="eastAsia" w:eastAsia="微软雅黑"/>
          <w:i/>
          <w:szCs w:val="20"/>
        </w:rPr>
        <w:t xml:space="preserve"> index, e.g., TCI state/spatial relation/panel index.</w:t>
      </w:r>
    </w:p>
    <w:p>
      <w:pPr>
        <w:snapToGrid w:val="0"/>
        <w:spacing w:before="60" w:beforeLines="25" w:after="60" w:afterLines="25" w:line="240" w:lineRule="auto"/>
        <w:jc w:val="both"/>
        <w:rPr>
          <w:rFonts w:eastAsia="微软雅黑"/>
          <w:i/>
          <w:szCs w:val="20"/>
        </w:rPr>
      </w:pPr>
      <w:r>
        <w:rPr>
          <w:rFonts w:eastAsia="微软雅黑"/>
          <w:b/>
          <w:i/>
          <w:szCs w:val="20"/>
        </w:rPr>
        <w:t>Proposal 1</w:t>
      </w:r>
      <w:r>
        <w:rPr>
          <w:rFonts w:hint="eastAsia" w:eastAsia="微软雅黑"/>
          <w:b/>
          <w:i/>
          <w:szCs w:val="20"/>
        </w:rPr>
        <w:t>6</w:t>
      </w:r>
      <w:r>
        <w:rPr>
          <w:rFonts w:eastAsia="微软雅黑"/>
          <w:b/>
          <w:i/>
          <w:szCs w:val="20"/>
        </w:rPr>
        <w:t>:</w:t>
      </w:r>
      <w:r>
        <w:rPr>
          <w:rFonts w:hint="eastAsia" w:eastAsia="微软雅黑"/>
          <w:b/>
          <w:i/>
          <w:szCs w:val="20"/>
        </w:rPr>
        <w:t xml:space="preserve"> </w:t>
      </w:r>
      <w:r>
        <w:rPr>
          <w:rFonts w:cs="Times"/>
          <w:i/>
        </w:rPr>
        <w:t xml:space="preserve">Reporting SSBRI(s)/CRI(s) along with a virtual PHR is supported for the purpose of indicating feasible UE panel(s) or TX beam(s) for UL transmission </w:t>
      </w:r>
      <w:r>
        <w:rPr>
          <w:rFonts w:eastAsia="微软雅黑" w:cs="Times New Roman"/>
          <w:i/>
          <w:szCs w:val="20"/>
        </w:rPr>
        <w:t>taking</w:t>
      </w:r>
      <w:r>
        <w:rPr>
          <w:rFonts w:cs="Times"/>
          <w:i/>
        </w:rPr>
        <w:t xml:space="preserve"> the MPE effect into account</w:t>
      </w:r>
    </w:p>
    <w:p>
      <w:pPr>
        <w:pStyle w:val="109"/>
        <w:numPr>
          <w:ilvl w:val="0"/>
          <w:numId w:val="7"/>
        </w:numPr>
        <w:snapToGrid w:val="0"/>
        <w:spacing w:before="60" w:beforeLines="25" w:after="60" w:afterLines="25" w:line="300" w:lineRule="auto"/>
        <w:ind w:firstLineChars="0"/>
        <w:jc w:val="both"/>
        <w:rPr>
          <w:rFonts w:eastAsia="微软雅黑" w:cs="Times"/>
          <w:i/>
          <w:szCs w:val="20"/>
        </w:rPr>
      </w:pPr>
      <w:r>
        <w:rPr>
          <w:rFonts w:eastAsia="微软雅黑"/>
          <w:i/>
          <w:szCs w:val="20"/>
        </w:rPr>
        <w:t>The virtual PHR is determined according to the SSBRI(s)/CRI(s)</w:t>
      </w:r>
    </w:p>
    <w:p>
      <w:pPr>
        <w:pStyle w:val="109"/>
        <w:numPr>
          <w:ilvl w:val="0"/>
          <w:numId w:val="7"/>
        </w:numPr>
        <w:snapToGrid w:val="0"/>
        <w:spacing w:before="60" w:beforeLines="25" w:after="60" w:afterLines="25" w:line="300" w:lineRule="auto"/>
        <w:ind w:firstLineChars="0"/>
        <w:jc w:val="both"/>
        <w:rPr>
          <w:rFonts w:eastAsia="微软雅黑"/>
          <w:i/>
          <w:szCs w:val="20"/>
        </w:rPr>
      </w:pPr>
      <w:r>
        <w:rPr>
          <w:rFonts w:eastAsia="微软雅黑"/>
          <w:i/>
          <w:szCs w:val="20"/>
        </w:rPr>
        <w:t>MPE event detection as for R16 PHR/P-MPR MAC-CE can be reused as a baseline.</w:t>
      </w:r>
    </w:p>
    <w:p>
      <w:pPr>
        <w:widowControl w:val="0"/>
        <w:snapToGrid w:val="0"/>
        <w:spacing w:before="120" w:after="120" w:afterLines="50" w:line="300" w:lineRule="auto"/>
        <w:jc w:val="both"/>
        <w:rPr>
          <w:rFonts w:eastAsia="微软雅黑"/>
          <w:szCs w:val="20"/>
        </w:rPr>
      </w:pPr>
    </w:p>
    <w:p>
      <w:pPr>
        <w:keepNext/>
        <w:widowControl w:val="0"/>
        <w:numPr>
          <w:ilvl w:val="0"/>
          <w:numId w:val="5"/>
        </w:numPr>
        <w:tabs>
          <w:tab w:val="left" w:pos="3686"/>
          <w:tab w:val="left" w:pos="4536"/>
        </w:tabs>
        <w:autoSpaceDE w:val="0"/>
        <w:autoSpaceDN w:val="0"/>
        <w:adjustRightInd w:val="0"/>
        <w:snapToGrid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3"/>
        <w:snapToGrid w:val="0"/>
        <w:rPr>
          <w:bCs/>
          <w:sz w:val="20"/>
          <w:szCs w:val="20"/>
        </w:rPr>
      </w:pPr>
      <w:r>
        <w:rPr>
          <w:bCs/>
          <w:sz w:val="20"/>
          <w:szCs w:val="20"/>
        </w:rPr>
        <w:t xml:space="preserve">[1] </w:t>
      </w:r>
      <w:r>
        <w:rPr>
          <w:rFonts w:hint="eastAsia"/>
          <w:bCs/>
          <w:sz w:val="20"/>
          <w:szCs w:val="20"/>
        </w:rPr>
        <w:t>Chairman's Notes RAN1#103-e final</w:t>
      </w:r>
    </w:p>
    <w:p>
      <w:pPr>
        <w:pStyle w:val="73"/>
        <w:snapToGrid w:val="0"/>
        <w:spacing w:before="120" w:after="120" w:afterLines="50"/>
        <w:jc w:val="both"/>
        <w:rPr>
          <w:rFonts w:eastAsia="微软雅黑"/>
          <w:szCs w:val="20"/>
          <w:lang w:val="en-GB"/>
        </w:rPr>
      </w:pPr>
      <w:r>
        <w:rPr>
          <w:bCs/>
          <w:sz w:val="20"/>
          <w:szCs w:val="20"/>
        </w:rPr>
        <w:t>[2] R1-2</w:t>
      </w:r>
      <w:r>
        <w:rPr>
          <w:rFonts w:hint="eastAsia"/>
          <w:bCs/>
          <w:sz w:val="20"/>
          <w:szCs w:val="20"/>
        </w:rPr>
        <w:t>100292</w:t>
      </w:r>
      <w:r>
        <w:rPr>
          <w:bCs/>
          <w:sz w:val="20"/>
          <w:szCs w:val="20"/>
        </w:rPr>
        <w:t>, Further details on Multi-beam and Multi-TRP operation, ZTE</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2FF" w:usb1="420024FF" w:usb2="00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694412"/>
    <w:multiLevelType w:val="multilevel"/>
    <w:tmpl w:val="1B694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2D13677D"/>
    <w:multiLevelType w:val="multilevel"/>
    <w:tmpl w:val="2D13677D"/>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6">
    <w:nsid w:val="33F91CFF"/>
    <w:multiLevelType w:val="multilevel"/>
    <w:tmpl w:val="33F91CFF"/>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B140ED7"/>
    <w:multiLevelType w:val="multilevel"/>
    <w:tmpl w:val="4B140ED7"/>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Time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C841F1E"/>
    <w:multiLevelType w:val="multilevel"/>
    <w:tmpl w:val="4C841F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1512E8A"/>
    <w:multiLevelType w:val="multilevel"/>
    <w:tmpl w:val="61512E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BCB627D"/>
    <w:multiLevelType w:val="multilevel"/>
    <w:tmpl w:val="7BCB62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F397D16"/>
    <w:multiLevelType w:val="multilevel"/>
    <w:tmpl w:val="7F397D16"/>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11"/>
  </w:num>
  <w:num w:numId="4">
    <w:abstractNumId w:val="2"/>
  </w:num>
  <w:num w:numId="5">
    <w:abstractNumId w:val="4"/>
  </w:num>
  <w:num w:numId="6">
    <w:abstractNumId w:val="12"/>
  </w:num>
  <w:num w:numId="7">
    <w:abstractNumId w:val="8"/>
  </w:num>
  <w:num w:numId="8">
    <w:abstractNumId w:val="7"/>
  </w:num>
  <w:num w:numId="9">
    <w:abstractNumId w:val="9"/>
  </w:num>
  <w:num w:numId="10">
    <w:abstractNumId w:val="13"/>
  </w:num>
  <w:num w:numId="11">
    <w:abstractNumId w:val="6"/>
  </w:num>
  <w:num w:numId="12">
    <w:abstractNumId w:val="5"/>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B00E0"/>
    <w:rsid w:val="000B0383"/>
    <w:rsid w:val="000B0395"/>
    <w:rsid w:val="000B126D"/>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07C"/>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735"/>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2AE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862"/>
    <w:rsid w:val="00430D29"/>
    <w:rsid w:val="00430F4B"/>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8B1"/>
    <w:rsid w:val="0058635F"/>
    <w:rsid w:val="0058637E"/>
    <w:rsid w:val="0058678B"/>
    <w:rsid w:val="00586ADE"/>
    <w:rsid w:val="0058709F"/>
    <w:rsid w:val="0058756C"/>
    <w:rsid w:val="00587864"/>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11"/>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7001C"/>
    <w:rsid w:val="007704B1"/>
    <w:rsid w:val="007706CA"/>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1D4C"/>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F55"/>
    <w:rsid w:val="009B2058"/>
    <w:rsid w:val="009B21FF"/>
    <w:rsid w:val="009B23D9"/>
    <w:rsid w:val="009B2795"/>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3B8"/>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818"/>
    <w:rsid w:val="00A97BC7"/>
    <w:rsid w:val="00A97C59"/>
    <w:rsid w:val="00A97EA0"/>
    <w:rsid w:val="00A97EA8"/>
    <w:rsid w:val="00AA07C2"/>
    <w:rsid w:val="00AA080F"/>
    <w:rsid w:val="00AA0A6B"/>
    <w:rsid w:val="00AA0B97"/>
    <w:rsid w:val="00AA1214"/>
    <w:rsid w:val="00AA1352"/>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686D"/>
    <w:rsid w:val="00B36C41"/>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9B0"/>
    <w:rsid w:val="00BE36E1"/>
    <w:rsid w:val="00BE377E"/>
    <w:rsid w:val="00BE3EF2"/>
    <w:rsid w:val="00BE41D9"/>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6ED3"/>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5F0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2D3"/>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CA1"/>
    <w:rsid w:val="00E03E45"/>
    <w:rsid w:val="00E03F50"/>
    <w:rsid w:val="00E0406D"/>
    <w:rsid w:val="00E0431F"/>
    <w:rsid w:val="00E045F7"/>
    <w:rsid w:val="00E04801"/>
    <w:rsid w:val="00E04E06"/>
    <w:rsid w:val="00E051FA"/>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148F"/>
    <w:rsid w:val="00E5155A"/>
    <w:rsid w:val="00E51867"/>
    <w:rsid w:val="00E51DB3"/>
    <w:rsid w:val="00E5200A"/>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513"/>
    <w:rsid w:val="00EA78FC"/>
    <w:rsid w:val="00EA7B5C"/>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0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EA3121"/>
    <w:rsid w:val="05EB37CA"/>
    <w:rsid w:val="05EF39F0"/>
    <w:rsid w:val="06073C3A"/>
    <w:rsid w:val="06093003"/>
    <w:rsid w:val="060D79A1"/>
    <w:rsid w:val="060E00E0"/>
    <w:rsid w:val="06197729"/>
    <w:rsid w:val="06257099"/>
    <w:rsid w:val="067751BD"/>
    <w:rsid w:val="06C62058"/>
    <w:rsid w:val="06CF7159"/>
    <w:rsid w:val="06D32D7E"/>
    <w:rsid w:val="06E21138"/>
    <w:rsid w:val="06E64C63"/>
    <w:rsid w:val="06F24EF2"/>
    <w:rsid w:val="07470651"/>
    <w:rsid w:val="075815C4"/>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32529"/>
    <w:rsid w:val="0C195365"/>
    <w:rsid w:val="0C1D70C9"/>
    <w:rsid w:val="0C6F4E58"/>
    <w:rsid w:val="0C76751C"/>
    <w:rsid w:val="0CFB1DB9"/>
    <w:rsid w:val="0D103D70"/>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063F94"/>
    <w:rsid w:val="13344C16"/>
    <w:rsid w:val="1343505A"/>
    <w:rsid w:val="13544A6B"/>
    <w:rsid w:val="135C3AB9"/>
    <w:rsid w:val="136B08B3"/>
    <w:rsid w:val="137A40BD"/>
    <w:rsid w:val="13910B1E"/>
    <w:rsid w:val="13B563DA"/>
    <w:rsid w:val="13BD31AB"/>
    <w:rsid w:val="13CD27B6"/>
    <w:rsid w:val="13E532CA"/>
    <w:rsid w:val="13ED0B0B"/>
    <w:rsid w:val="13ED7D7F"/>
    <w:rsid w:val="13F96221"/>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C6C7D"/>
    <w:rsid w:val="18960812"/>
    <w:rsid w:val="189C7EF6"/>
    <w:rsid w:val="18B04B4D"/>
    <w:rsid w:val="18C5316D"/>
    <w:rsid w:val="18E87E12"/>
    <w:rsid w:val="18F5052C"/>
    <w:rsid w:val="191D14D9"/>
    <w:rsid w:val="19693EEF"/>
    <w:rsid w:val="196B5F41"/>
    <w:rsid w:val="19D1732F"/>
    <w:rsid w:val="19F92180"/>
    <w:rsid w:val="1A001213"/>
    <w:rsid w:val="1A0D4248"/>
    <w:rsid w:val="1A200A74"/>
    <w:rsid w:val="1A2F2398"/>
    <w:rsid w:val="1A3055B8"/>
    <w:rsid w:val="1A5655AF"/>
    <w:rsid w:val="1A6B5CD7"/>
    <w:rsid w:val="1A9B675D"/>
    <w:rsid w:val="1ADE3E70"/>
    <w:rsid w:val="1AE032B7"/>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D26771C"/>
    <w:rsid w:val="1D464FEE"/>
    <w:rsid w:val="1D644902"/>
    <w:rsid w:val="1D6B1D16"/>
    <w:rsid w:val="1D8C2BA2"/>
    <w:rsid w:val="1D905228"/>
    <w:rsid w:val="1DAB0536"/>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F23920"/>
    <w:rsid w:val="1F234826"/>
    <w:rsid w:val="1F4773C4"/>
    <w:rsid w:val="1F517BAC"/>
    <w:rsid w:val="1F5E0D38"/>
    <w:rsid w:val="1F5F4414"/>
    <w:rsid w:val="1F826970"/>
    <w:rsid w:val="1F972A67"/>
    <w:rsid w:val="1FA317AB"/>
    <w:rsid w:val="1FA415FD"/>
    <w:rsid w:val="1FA60478"/>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9C6DDD"/>
    <w:rsid w:val="21DF3292"/>
    <w:rsid w:val="22111157"/>
    <w:rsid w:val="2229623B"/>
    <w:rsid w:val="22477192"/>
    <w:rsid w:val="224C2951"/>
    <w:rsid w:val="227A54E3"/>
    <w:rsid w:val="22865CFC"/>
    <w:rsid w:val="22BD3256"/>
    <w:rsid w:val="22D07449"/>
    <w:rsid w:val="230B248C"/>
    <w:rsid w:val="231847B8"/>
    <w:rsid w:val="231E3ED2"/>
    <w:rsid w:val="234421C7"/>
    <w:rsid w:val="23537C14"/>
    <w:rsid w:val="23700EEA"/>
    <w:rsid w:val="238C42D2"/>
    <w:rsid w:val="2393048F"/>
    <w:rsid w:val="239E3C8F"/>
    <w:rsid w:val="23A06B4E"/>
    <w:rsid w:val="23A40CCF"/>
    <w:rsid w:val="23FA1D01"/>
    <w:rsid w:val="24351B4F"/>
    <w:rsid w:val="243647BB"/>
    <w:rsid w:val="24501237"/>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56FD7"/>
    <w:rsid w:val="260C334C"/>
    <w:rsid w:val="26276BC7"/>
    <w:rsid w:val="26412189"/>
    <w:rsid w:val="26517452"/>
    <w:rsid w:val="26566E1C"/>
    <w:rsid w:val="268120E0"/>
    <w:rsid w:val="26A10A64"/>
    <w:rsid w:val="26A24282"/>
    <w:rsid w:val="26BB6790"/>
    <w:rsid w:val="26C84C3F"/>
    <w:rsid w:val="26CA39FA"/>
    <w:rsid w:val="26D85E33"/>
    <w:rsid w:val="26DB2072"/>
    <w:rsid w:val="270B4A30"/>
    <w:rsid w:val="270F1235"/>
    <w:rsid w:val="271D238B"/>
    <w:rsid w:val="273460AC"/>
    <w:rsid w:val="2737495D"/>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90033E"/>
    <w:rsid w:val="2AA47786"/>
    <w:rsid w:val="2AAA19F3"/>
    <w:rsid w:val="2AAD65EE"/>
    <w:rsid w:val="2AB23403"/>
    <w:rsid w:val="2AC77380"/>
    <w:rsid w:val="2ADD6AFD"/>
    <w:rsid w:val="2ADE6550"/>
    <w:rsid w:val="2AFE0D9C"/>
    <w:rsid w:val="2B2E0309"/>
    <w:rsid w:val="2B422946"/>
    <w:rsid w:val="2B5B34DC"/>
    <w:rsid w:val="2B76579E"/>
    <w:rsid w:val="2B831E93"/>
    <w:rsid w:val="2BA57D96"/>
    <w:rsid w:val="2BAE29A1"/>
    <w:rsid w:val="2BBE438D"/>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EEB0155"/>
    <w:rsid w:val="2F0F048D"/>
    <w:rsid w:val="2F2B5ABF"/>
    <w:rsid w:val="2F2E604D"/>
    <w:rsid w:val="2F417886"/>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1D59BA"/>
    <w:rsid w:val="36247CCA"/>
    <w:rsid w:val="36280FB0"/>
    <w:rsid w:val="36400759"/>
    <w:rsid w:val="364225B8"/>
    <w:rsid w:val="364B4F18"/>
    <w:rsid w:val="367B06EC"/>
    <w:rsid w:val="36AF0D32"/>
    <w:rsid w:val="36C5766F"/>
    <w:rsid w:val="36ED465C"/>
    <w:rsid w:val="36F13515"/>
    <w:rsid w:val="370058B6"/>
    <w:rsid w:val="37066B46"/>
    <w:rsid w:val="37556EFB"/>
    <w:rsid w:val="37634C0D"/>
    <w:rsid w:val="37635AA2"/>
    <w:rsid w:val="376D038A"/>
    <w:rsid w:val="378D4EC4"/>
    <w:rsid w:val="379127D4"/>
    <w:rsid w:val="37B01FC8"/>
    <w:rsid w:val="37F7211A"/>
    <w:rsid w:val="37FD2BB1"/>
    <w:rsid w:val="38115BCA"/>
    <w:rsid w:val="381D63E4"/>
    <w:rsid w:val="38454C9B"/>
    <w:rsid w:val="388116C0"/>
    <w:rsid w:val="388C714F"/>
    <w:rsid w:val="38946C1E"/>
    <w:rsid w:val="38966DB9"/>
    <w:rsid w:val="38C2768F"/>
    <w:rsid w:val="38E37461"/>
    <w:rsid w:val="39105A0A"/>
    <w:rsid w:val="391B76F1"/>
    <w:rsid w:val="392245B5"/>
    <w:rsid w:val="39235BBC"/>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AD5CAC"/>
    <w:rsid w:val="3AD8079E"/>
    <w:rsid w:val="3AF05E33"/>
    <w:rsid w:val="3AF1344F"/>
    <w:rsid w:val="3B1C5B19"/>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3C5369"/>
    <w:rsid w:val="3D66205D"/>
    <w:rsid w:val="3D6D5EA9"/>
    <w:rsid w:val="3D7849C8"/>
    <w:rsid w:val="3DA54021"/>
    <w:rsid w:val="3DC60482"/>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86186"/>
    <w:rsid w:val="3F2C1065"/>
    <w:rsid w:val="3F2F6BD0"/>
    <w:rsid w:val="3F3330FC"/>
    <w:rsid w:val="3F397D57"/>
    <w:rsid w:val="3F4E48BC"/>
    <w:rsid w:val="3F4F338A"/>
    <w:rsid w:val="3F4F56AB"/>
    <w:rsid w:val="3F5C510C"/>
    <w:rsid w:val="3F652B34"/>
    <w:rsid w:val="3F9529AF"/>
    <w:rsid w:val="3F9819C8"/>
    <w:rsid w:val="3FB1447F"/>
    <w:rsid w:val="3FC35AFC"/>
    <w:rsid w:val="3FC41983"/>
    <w:rsid w:val="3FD1414D"/>
    <w:rsid w:val="3FD81218"/>
    <w:rsid w:val="3FF35E75"/>
    <w:rsid w:val="400479C3"/>
    <w:rsid w:val="40404B79"/>
    <w:rsid w:val="40797278"/>
    <w:rsid w:val="408E3720"/>
    <w:rsid w:val="40912007"/>
    <w:rsid w:val="409B357D"/>
    <w:rsid w:val="40BC2DF7"/>
    <w:rsid w:val="40CE14CF"/>
    <w:rsid w:val="40CF6877"/>
    <w:rsid w:val="40E86C9E"/>
    <w:rsid w:val="40F347AB"/>
    <w:rsid w:val="40F83F72"/>
    <w:rsid w:val="411713CA"/>
    <w:rsid w:val="411A6663"/>
    <w:rsid w:val="412D5086"/>
    <w:rsid w:val="416E59E3"/>
    <w:rsid w:val="417C4EC1"/>
    <w:rsid w:val="41A664B7"/>
    <w:rsid w:val="41CF3C25"/>
    <w:rsid w:val="41DF5CBF"/>
    <w:rsid w:val="41EB174A"/>
    <w:rsid w:val="42226713"/>
    <w:rsid w:val="422B2BA1"/>
    <w:rsid w:val="4231785A"/>
    <w:rsid w:val="42584818"/>
    <w:rsid w:val="427E48C1"/>
    <w:rsid w:val="42926048"/>
    <w:rsid w:val="429B6E22"/>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BA5028"/>
    <w:rsid w:val="45CA6C10"/>
    <w:rsid w:val="45D01294"/>
    <w:rsid w:val="45DA4126"/>
    <w:rsid w:val="45E03532"/>
    <w:rsid w:val="45FB48CF"/>
    <w:rsid w:val="462D5957"/>
    <w:rsid w:val="463546D0"/>
    <w:rsid w:val="465346A2"/>
    <w:rsid w:val="46586687"/>
    <w:rsid w:val="466309D9"/>
    <w:rsid w:val="466A2150"/>
    <w:rsid w:val="466D3B0A"/>
    <w:rsid w:val="46844FFB"/>
    <w:rsid w:val="46864313"/>
    <w:rsid w:val="468C15DE"/>
    <w:rsid w:val="468F344C"/>
    <w:rsid w:val="46CE17A4"/>
    <w:rsid w:val="46D81406"/>
    <w:rsid w:val="47050296"/>
    <w:rsid w:val="470A5361"/>
    <w:rsid w:val="472D3683"/>
    <w:rsid w:val="473B416A"/>
    <w:rsid w:val="473B7E9E"/>
    <w:rsid w:val="47403AF2"/>
    <w:rsid w:val="47453C8F"/>
    <w:rsid w:val="475B3378"/>
    <w:rsid w:val="4766347D"/>
    <w:rsid w:val="478D4609"/>
    <w:rsid w:val="478D6A12"/>
    <w:rsid w:val="47A32AF0"/>
    <w:rsid w:val="47AF032C"/>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55CAD"/>
    <w:rsid w:val="49CA225D"/>
    <w:rsid w:val="4A1203E3"/>
    <w:rsid w:val="4A3C31F7"/>
    <w:rsid w:val="4A863FBD"/>
    <w:rsid w:val="4AA927DF"/>
    <w:rsid w:val="4AB450E7"/>
    <w:rsid w:val="4ABD2CBE"/>
    <w:rsid w:val="4ACA49FA"/>
    <w:rsid w:val="4ACC15C6"/>
    <w:rsid w:val="4ACC17F6"/>
    <w:rsid w:val="4AE8469B"/>
    <w:rsid w:val="4AED30D2"/>
    <w:rsid w:val="4AF05435"/>
    <w:rsid w:val="4AFE1C1B"/>
    <w:rsid w:val="4B503DE9"/>
    <w:rsid w:val="4B592E57"/>
    <w:rsid w:val="4B731311"/>
    <w:rsid w:val="4B9A2375"/>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834946"/>
    <w:rsid w:val="4D993267"/>
    <w:rsid w:val="4DA1355F"/>
    <w:rsid w:val="4DA537B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540B41"/>
    <w:rsid w:val="4F547EAA"/>
    <w:rsid w:val="4F832885"/>
    <w:rsid w:val="4F9039FE"/>
    <w:rsid w:val="50437224"/>
    <w:rsid w:val="50490678"/>
    <w:rsid w:val="505A512C"/>
    <w:rsid w:val="50895295"/>
    <w:rsid w:val="5098572F"/>
    <w:rsid w:val="50B906DF"/>
    <w:rsid w:val="50F018D3"/>
    <w:rsid w:val="50F47A17"/>
    <w:rsid w:val="51336612"/>
    <w:rsid w:val="513D38A6"/>
    <w:rsid w:val="51456AF4"/>
    <w:rsid w:val="515C1DCC"/>
    <w:rsid w:val="51657C34"/>
    <w:rsid w:val="51790E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871B54"/>
    <w:rsid w:val="549F3EDE"/>
    <w:rsid w:val="54AA3CD9"/>
    <w:rsid w:val="54B76615"/>
    <w:rsid w:val="54EA3219"/>
    <w:rsid w:val="550118A5"/>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C16B43"/>
    <w:rsid w:val="58EF47AD"/>
    <w:rsid w:val="59033141"/>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734F1"/>
    <w:rsid w:val="5D3A42DC"/>
    <w:rsid w:val="5D423265"/>
    <w:rsid w:val="5DCE771F"/>
    <w:rsid w:val="5DD3556C"/>
    <w:rsid w:val="5DD81E67"/>
    <w:rsid w:val="5DE6704B"/>
    <w:rsid w:val="5DEC3B70"/>
    <w:rsid w:val="5DF84369"/>
    <w:rsid w:val="5DF92DCB"/>
    <w:rsid w:val="5E091FB5"/>
    <w:rsid w:val="5E280CB5"/>
    <w:rsid w:val="5E4130FC"/>
    <w:rsid w:val="5E447267"/>
    <w:rsid w:val="5E4A572D"/>
    <w:rsid w:val="5E5667A6"/>
    <w:rsid w:val="5E676802"/>
    <w:rsid w:val="5E6C7C78"/>
    <w:rsid w:val="5E72699B"/>
    <w:rsid w:val="5E815CED"/>
    <w:rsid w:val="5E887A26"/>
    <w:rsid w:val="5EA35CFD"/>
    <w:rsid w:val="5EB75E1B"/>
    <w:rsid w:val="5EC56393"/>
    <w:rsid w:val="5EF078DD"/>
    <w:rsid w:val="5EFB0071"/>
    <w:rsid w:val="5EFE34A1"/>
    <w:rsid w:val="5F173FD8"/>
    <w:rsid w:val="5F3262F4"/>
    <w:rsid w:val="5F5C27E5"/>
    <w:rsid w:val="5F6E2815"/>
    <w:rsid w:val="5F7C06D8"/>
    <w:rsid w:val="5FA1081C"/>
    <w:rsid w:val="5FD9462B"/>
    <w:rsid w:val="5FFB6305"/>
    <w:rsid w:val="60011320"/>
    <w:rsid w:val="604100BA"/>
    <w:rsid w:val="6057025C"/>
    <w:rsid w:val="606F133D"/>
    <w:rsid w:val="60916901"/>
    <w:rsid w:val="60993336"/>
    <w:rsid w:val="609949E1"/>
    <w:rsid w:val="60A27DAC"/>
    <w:rsid w:val="60B91733"/>
    <w:rsid w:val="60E34759"/>
    <w:rsid w:val="610B115D"/>
    <w:rsid w:val="61120121"/>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37829"/>
    <w:rsid w:val="62A20B07"/>
    <w:rsid w:val="62A414E0"/>
    <w:rsid w:val="62BA5904"/>
    <w:rsid w:val="62CC77CB"/>
    <w:rsid w:val="62F3784F"/>
    <w:rsid w:val="62FF3FB5"/>
    <w:rsid w:val="63021DE2"/>
    <w:rsid w:val="63112339"/>
    <w:rsid w:val="632C2662"/>
    <w:rsid w:val="633A0F04"/>
    <w:rsid w:val="63654FE0"/>
    <w:rsid w:val="63AA5332"/>
    <w:rsid w:val="63C61233"/>
    <w:rsid w:val="63FF6AFB"/>
    <w:rsid w:val="64142736"/>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8091997"/>
    <w:rsid w:val="6815717B"/>
    <w:rsid w:val="681B7F08"/>
    <w:rsid w:val="68221A8C"/>
    <w:rsid w:val="68347A35"/>
    <w:rsid w:val="684D6D87"/>
    <w:rsid w:val="684F6446"/>
    <w:rsid w:val="685036D0"/>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23095"/>
    <w:rsid w:val="69AB5DBB"/>
    <w:rsid w:val="69B840F1"/>
    <w:rsid w:val="69C91948"/>
    <w:rsid w:val="69FD45AC"/>
    <w:rsid w:val="6A2826A1"/>
    <w:rsid w:val="6A551347"/>
    <w:rsid w:val="6A5660EE"/>
    <w:rsid w:val="6A5D1911"/>
    <w:rsid w:val="6A9F3407"/>
    <w:rsid w:val="6AA45AEE"/>
    <w:rsid w:val="6AAA05A9"/>
    <w:rsid w:val="6AE60B4C"/>
    <w:rsid w:val="6B0E0011"/>
    <w:rsid w:val="6B3529D0"/>
    <w:rsid w:val="6B3C6A10"/>
    <w:rsid w:val="6B3D3D48"/>
    <w:rsid w:val="6B5B3158"/>
    <w:rsid w:val="6B726A7C"/>
    <w:rsid w:val="6B8833D8"/>
    <w:rsid w:val="6B8902B7"/>
    <w:rsid w:val="6BA832B8"/>
    <w:rsid w:val="6BBA5C26"/>
    <w:rsid w:val="6BC644EC"/>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145E1F"/>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BD0161"/>
    <w:rsid w:val="70CE2945"/>
    <w:rsid w:val="70E03E42"/>
    <w:rsid w:val="710003A8"/>
    <w:rsid w:val="710376A0"/>
    <w:rsid w:val="710F0BB8"/>
    <w:rsid w:val="71194261"/>
    <w:rsid w:val="711C5BB5"/>
    <w:rsid w:val="7144689C"/>
    <w:rsid w:val="714872A8"/>
    <w:rsid w:val="717E5F2F"/>
    <w:rsid w:val="71885178"/>
    <w:rsid w:val="718B15C7"/>
    <w:rsid w:val="71B2274D"/>
    <w:rsid w:val="71BF4E45"/>
    <w:rsid w:val="71C20258"/>
    <w:rsid w:val="71CC7EBE"/>
    <w:rsid w:val="71D20555"/>
    <w:rsid w:val="71DA77B8"/>
    <w:rsid w:val="71EA67D9"/>
    <w:rsid w:val="722766A6"/>
    <w:rsid w:val="72355C90"/>
    <w:rsid w:val="72370EF3"/>
    <w:rsid w:val="723E1C2C"/>
    <w:rsid w:val="724A0B59"/>
    <w:rsid w:val="724B3C7A"/>
    <w:rsid w:val="72522107"/>
    <w:rsid w:val="7258227F"/>
    <w:rsid w:val="726542C5"/>
    <w:rsid w:val="72713F85"/>
    <w:rsid w:val="72725AF0"/>
    <w:rsid w:val="727E25B6"/>
    <w:rsid w:val="72931EAF"/>
    <w:rsid w:val="729B43C7"/>
    <w:rsid w:val="729B556A"/>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53ACC"/>
    <w:rsid w:val="77A82770"/>
    <w:rsid w:val="77BD7E72"/>
    <w:rsid w:val="77ED0386"/>
    <w:rsid w:val="77F72469"/>
    <w:rsid w:val="77F854D4"/>
    <w:rsid w:val="78065036"/>
    <w:rsid w:val="78366B8C"/>
    <w:rsid w:val="783B287A"/>
    <w:rsid w:val="78482C69"/>
    <w:rsid w:val="785E7689"/>
    <w:rsid w:val="78B2035E"/>
    <w:rsid w:val="78B43B82"/>
    <w:rsid w:val="78B57D9C"/>
    <w:rsid w:val="78BB76EA"/>
    <w:rsid w:val="78F65C61"/>
    <w:rsid w:val="78FB1BD1"/>
    <w:rsid w:val="79213328"/>
    <w:rsid w:val="7964511F"/>
    <w:rsid w:val="79824E81"/>
    <w:rsid w:val="79956A1C"/>
    <w:rsid w:val="799E7491"/>
    <w:rsid w:val="799F3F47"/>
    <w:rsid w:val="79A72484"/>
    <w:rsid w:val="79BA471D"/>
    <w:rsid w:val="79DF005F"/>
    <w:rsid w:val="79E028EC"/>
    <w:rsid w:val="7A114E8A"/>
    <w:rsid w:val="7A1C5B1C"/>
    <w:rsid w:val="7A2D6C9D"/>
    <w:rsid w:val="7A4653BA"/>
    <w:rsid w:val="7A765EEC"/>
    <w:rsid w:val="7A790CA9"/>
    <w:rsid w:val="7AB83F1D"/>
    <w:rsid w:val="7AD234FC"/>
    <w:rsid w:val="7ADD6AF4"/>
    <w:rsid w:val="7AE2061C"/>
    <w:rsid w:val="7AF937F5"/>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B11AA"/>
    <w:rsid w:val="7EA32AD0"/>
    <w:rsid w:val="7ED55007"/>
    <w:rsid w:val="7ED953E3"/>
    <w:rsid w:val="7EF765D0"/>
    <w:rsid w:val="7EF87C96"/>
    <w:rsid w:val="7F215D8A"/>
    <w:rsid w:val="7F301B1E"/>
    <w:rsid w:val="7F375D0A"/>
    <w:rsid w:val="7F500CBA"/>
    <w:rsid w:val="7F587DE1"/>
    <w:rsid w:val="7F61016D"/>
    <w:rsid w:val="7F6D28E2"/>
    <w:rsid w:val="7F820D78"/>
    <w:rsid w:val="7F935AA2"/>
    <w:rsid w:val="7FA51E6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59"/>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58"/>
    <w:qFormat/>
    <w:uiPriority w:val="9"/>
    <w:pPr>
      <w:numPr>
        <w:ilvl w:val="2"/>
      </w:numPr>
      <w:tabs>
        <w:tab w:val="left" w:pos="720"/>
      </w:tabs>
      <w:spacing w:line="416" w:lineRule="auto"/>
      <w:outlineLvl w:val="2"/>
    </w:pPr>
    <w:rPr>
      <w:szCs w:val="32"/>
    </w:rPr>
  </w:style>
  <w:style w:type="paragraph" w:styleId="5">
    <w:name w:val="heading 4"/>
    <w:basedOn w:val="1"/>
    <w:next w:val="1"/>
    <w:qFormat/>
    <w:uiPriority w:val="9"/>
    <w:pPr>
      <w:numPr>
        <w:ilvl w:val="3"/>
        <w:numId w:val="1"/>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3"/>
    <w:qFormat/>
    <w:uiPriority w:val="0"/>
    <w:pPr>
      <w:tabs>
        <w:tab w:val="left" w:pos="1418"/>
      </w:tabs>
      <w:spacing w:before="120" w:after="120" w:line="240" w:lineRule="auto"/>
    </w:pPr>
    <w:rPr>
      <w:b/>
      <w:bCs/>
      <w:szCs w:val="20"/>
      <w:lang w:val="en-GB" w:eastAsia="sv-SE"/>
    </w:rPr>
  </w:style>
  <w:style w:type="paragraph" w:styleId="13">
    <w:name w:val="Document Map"/>
    <w:basedOn w:val="1"/>
    <w:link w:val="56"/>
    <w:unhideWhenUsed/>
    <w:qFormat/>
    <w:uiPriority w:val="99"/>
    <w:rPr>
      <w:rFonts w:ascii="宋体"/>
      <w:sz w:val="18"/>
      <w:szCs w:val="18"/>
    </w:rPr>
  </w:style>
  <w:style w:type="paragraph" w:styleId="14">
    <w:name w:val="annotation text"/>
    <w:basedOn w:val="1"/>
    <w:link w:val="48"/>
    <w:unhideWhenUsed/>
    <w:qFormat/>
    <w:uiPriority w:val="0"/>
    <w:rPr>
      <w:szCs w:val="20"/>
    </w:rPr>
  </w:style>
  <w:style w:type="paragraph" w:styleId="15">
    <w:name w:val="Body Text"/>
    <w:basedOn w:val="1"/>
    <w:link w:val="49"/>
    <w:qFormat/>
    <w:uiPriority w:val="0"/>
    <w:pPr>
      <w:widowControl w:val="0"/>
      <w:spacing w:after="0" w:line="240" w:lineRule="auto"/>
      <w:jc w:val="both"/>
    </w:pPr>
    <w:rPr>
      <w:color w:val="0000FF"/>
      <w:kern w:val="2"/>
      <w:sz w:val="21"/>
      <w:szCs w:val="20"/>
    </w:rPr>
  </w:style>
  <w:style w:type="paragraph" w:styleId="16">
    <w:name w:val="Balloon Text"/>
    <w:basedOn w:val="1"/>
    <w:link w:val="52"/>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4"/>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6"/>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5"/>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er Char"/>
    <w:link w:val="18"/>
    <w:qFormat/>
    <w:uiPriority w:val="0"/>
    <w:rPr>
      <w:rFonts w:ascii="Arial" w:hAnsi="Arial" w:eastAsia="MS Mincho"/>
      <w:b/>
      <w:szCs w:val="24"/>
      <w:lang w:eastAsia="en-US"/>
    </w:rPr>
  </w:style>
  <w:style w:type="character" w:customStyle="1" w:styleId="35">
    <w:name w:val="Comment Subject Char"/>
    <w:link w:val="22"/>
    <w:semiHidden/>
    <w:qFormat/>
    <w:uiPriority w:val="99"/>
    <w:rPr>
      <w:b/>
      <w:bCs/>
    </w:rPr>
  </w:style>
  <w:style w:type="character" w:customStyle="1" w:styleId="36">
    <w:name w:val="Footnote Text Char"/>
    <w:link w:val="20"/>
    <w:semiHidden/>
    <w:qFormat/>
    <w:uiPriority w:val="0"/>
    <w:rPr>
      <w:rFonts w:ascii="Times" w:hAnsi="Times" w:eastAsia="Batang"/>
      <w:lang w:eastAsia="en-US"/>
    </w:rPr>
  </w:style>
  <w:style w:type="character" w:customStyle="1" w:styleId="37">
    <w:name w:val="TH Char"/>
    <w:link w:val="38"/>
    <w:qFormat/>
    <w:uiPriority w:val="0"/>
    <w:rPr>
      <w:rFonts w:ascii="Arial" w:hAnsi="Arial"/>
      <w:b/>
      <w:lang w:val="en-GB" w:eastAsia="en-US"/>
    </w:rPr>
  </w:style>
  <w:style w:type="paragraph" w:customStyle="1" w:styleId="38">
    <w:name w:val="TH"/>
    <w:basedOn w:val="1"/>
    <w:link w:val="37"/>
    <w:qFormat/>
    <w:uiPriority w:val="0"/>
    <w:pPr>
      <w:keepNext/>
      <w:keepLines/>
      <w:spacing w:before="60" w:after="180" w:line="240" w:lineRule="auto"/>
      <w:jc w:val="center"/>
    </w:pPr>
    <w:rPr>
      <w:rFonts w:ascii="Arial" w:hAnsi="Arial"/>
      <w:b/>
      <w:szCs w:val="20"/>
      <w:lang w:val="en-GB" w:eastAsia="en-US"/>
    </w:rPr>
  </w:style>
  <w:style w:type="character" w:customStyle="1" w:styleId="39">
    <w:name w:val="TAC Char"/>
    <w:link w:val="40"/>
    <w:qFormat/>
    <w:uiPriority w:val="0"/>
    <w:rPr>
      <w:rFonts w:ascii="Arial" w:hAnsi="Arial" w:eastAsia="Times New Roman"/>
      <w:sz w:val="18"/>
      <w:lang w:val="en-GB" w:eastAsia="en-GB"/>
    </w:rPr>
  </w:style>
  <w:style w:type="paragraph" w:customStyle="1" w:styleId="40">
    <w:name w:val="TAC"/>
    <w:basedOn w:val="41"/>
    <w:link w:val="39"/>
    <w:qFormat/>
    <w:uiPriority w:val="0"/>
    <w:pPr>
      <w:overflowPunct w:val="0"/>
      <w:autoSpaceDE w:val="0"/>
      <w:autoSpaceDN w:val="0"/>
      <w:adjustRightInd w:val="0"/>
      <w:jc w:val="center"/>
      <w:textAlignment w:val="baseline"/>
    </w:pPr>
    <w:rPr>
      <w:rFonts w:eastAsia="Times New Roman"/>
      <w:lang w:eastAsia="en-GB"/>
    </w:rPr>
  </w:style>
  <w:style w:type="paragraph" w:customStyle="1" w:styleId="41">
    <w:name w:val="TAL"/>
    <w:basedOn w:val="1"/>
    <w:qFormat/>
    <w:uiPriority w:val="0"/>
    <w:pPr>
      <w:keepNext/>
      <w:keepLines/>
      <w:spacing w:after="0" w:line="240" w:lineRule="auto"/>
    </w:pPr>
    <w:rPr>
      <w:rFonts w:ascii="Arial" w:hAnsi="Arial"/>
      <w:sz w:val="18"/>
      <w:szCs w:val="20"/>
      <w:lang w:val="en-GB" w:eastAsia="en-US"/>
    </w:rPr>
  </w:style>
  <w:style w:type="character" w:customStyle="1" w:styleId="42">
    <w:name w:val="apple-converted-space"/>
    <w:basedOn w:val="26"/>
    <w:qFormat/>
    <w:uiPriority w:val="0"/>
  </w:style>
  <w:style w:type="character" w:customStyle="1" w:styleId="43">
    <w:name w:val="Caption Char"/>
    <w:link w:val="12"/>
    <w:qFormat/>
    <w:uiPriority w:val="0"/>
    <w:rPr>
      <w:rFonts w:ascii="Times New Roman" w:hAnsi="Times New Roman"/>
      <w:b/>
      <w:bCs/>
      <w:lang w:val="en-GB" w:eastAsia="sv-SE"/>
    </w:rPr>
  </w:style>
  <w:style w:type="character" w:customStyle="1" w:styleId="44">
    <w:name w:val="B1 (文字)"/>
    <w:link w:val="45"/>
    <w:qFormat/>
    <w:locked/>
    <w:uiPriority w:val="99"/>
    <w:rPr>
      <w:rFonts w:ascii="Times New Roman" w:hAnsi="Times New Roman" w:eastAsia="宋体"/>
      <w:lang w:val="en-GB" w:eastAsia="en-US"/>
    </w:rPr>
  </w:style>
  <w:style w:type="paragraph" w:customStyle="1" w:styleId="45">
    <w:name w:val="B1"/>
    <w:basedOn w:val="19"/>
    <w:link w:val="44"/>
    <w:qFormat/>
    <w:uiPriority w:val="0"/>
    <w:pPr>
      <w:spacing w:after="180" w:line="240" w:lineRule="auto"/>
      <w:ind w:left="568" w:hanging="284" w:firstLineChars="0"/>
    </w:pPr>
    <w:rPr>
      <w:szCs w:val="20"/>
      <w:lang w:val="en-GB" w:eastAsia="en-US"/>
    </w:rPr>
  </w:style>
  <w:style w:type="character" w:customStyle="1" w:styleId="46">
    <w:name w:val="main text Char"/>
    <w:link w:val="47"/>
    <w:qFormat/>
    <w:uiPriority w:val="0"/>
    <w:rPr>
      <w:rFonts w:ascii="Times New Roman" w:hAnsi="Times New Roman" w:eastAsia="Malgun Gothic"/>
      <w:lang w:val="en-GB" w:eastAsia="ko-KR"/>
    </w:rPr>
  </w:style>
  <w:style w:type="paragraph" w:customStyle="1" w:styleId="47">
    <w:name w:val="main text"/>
    <w:basedOn w:val="1"/>
    <w:link w:val="46"/>
    <w:qFormat/>
    <w:uiPriority w:val="0"/>
    <w:pPr>
      <w:spacing w:before="60" w:after="60" w:line="288" w:lineRule="auto"/>
      <w:ind w:firstLine="200" w:firstLineChars="200"/>
      <w:jc w:val="both"/>
    </w:pPr>
    <w:rPr>
      <w:rFonts w:eastAsia="Malgun Gothic"/>
      <w:szCs w:val="20"/>
      <w:lang w:val="en-GB" w:eastAsia="ko-KR"/>
    </w:rPr>
  </w:style>
  <w:style w:type="character" w:customStyle="1" w:styleId="48">
    <w:name w:val="Comment Text Char"/>
    <w:basedOn w:val="26"/>
    <w:link w:val="14"/>
    <w:qFormat/>
    <w:uiPriority w:val="0"/>
  </w:style>
  <w:style w:type="character" w:customStyle="1" w:styleId="49">
    <w:name w:val="Body Text Char"/>
    <w:link w:val="15"/>
    <w:qFormat/>
    <w:uiPriority w:val="0"/>
    <w:rPr>
      <w:rFonts w:ascii="Times New Roman" w:hAnsi="Times New Roman"/>
      <w:color w:val="0000FF"/>
      <w:kern w:val="2"/>
      <w:sz w:val="21"/>
    </w:rPr>
  </w:style>
  <w:style w:type="character" w:customStyle="1" w:styleId="50">
    <w:name w:val="def"/>
    <w:basedOn w:val="26"/>
    <w:qFormat/>
    <w:uiPriority w:val="0"/>
  </w:style>
  <w:style w:type="character" w:customStyle="1" w:styleId="51">
    <w:name w:val="中等深浅网格 1 - 强调文字颜色 2 Char"/>
    <w:qFormat/>
    <w:locked/>
    <w:uiPriority w:val="34"/>
    <w:rPr>
      <w:rFonts w:ascii="Times New Roman" w:hAnsi="Times New Roman"/>
      <w:kern w:val="2"/>
      <w:sz w:val="21"/>
      <w:szCs w:val="24"/>
    </w:rPr>
  </w:style>
  <w:style w:type="character" w:customStyle="1" w:styleId="52">
    <w:name w:val="Balloon Text Char"/>
    <w:link w:val="16"/>
    <w:semiHidden/>
    <w:qFormat/>
    <w:uiPriority w:val="99"/>
    <w:rPr>
      <w:rFonts w:ascii="Tahoma" w:hAnsi="Tahoma" w:cs="Tahoma"/>
      <w:sz w:val="16"/>
      <w:szCs w:val="16"/>
    </w:rPr>
  </w:style>
  <w:style w:type="character" w:customStyle="1" w:styleId="53">
    <w:name w:val="Normal with indent Char"/>
    <w:link w:val="54"/>
    <w:qFormat/>
    <w:uiPriority w:val="0"/>
    <w:rPr>
      <w:rFonts w:ascii="Times New Roman" w:hAnsi="Times New Roman" w:eastAsia="Malgun Gothic"/>
      <w:lang w:val="en-GB" w:eastAsia="ko-KR"/>
    </w:rPr>
  </w:style>
  <w:style w:type="paragraph" w:customStyle="1" w:styleId="54">
    <w:name w:val="Normal with indent"/>
    <w:basedOn w:val="1"/>
    <w:link w:val="53"/>
    <w:qFormat/>
    <w:uiPriority w:val="0"/>
    <w:pPr>
      <w:spacing w:before="120" w:after="120" w:line="336" w:lineRule="auto"/>
      <w:ind w:firstLine="397"/>
      <w:jc w:val="both"/>
    </w:pPr>
    <w:rPr>
      <w:rFonts w:eastAsia="Malgun Gothic"/>
      <w:szCs w:val="20"/>
      <w:lang w:val="en-GB" w:eastAsia="ko-KR"/>
    </w:rPr>
  </w:style>
  <w:style w:type="character" w:customStyle="1" w:styleId="55">
    <w:name w:val="word"/>
    <w:basedOn w:val="26"/>
    <w:qFormat/>
    <w:uiPriority w:val="0"/>
  </w:style>
  <w:style w:type="character" w:customStyle="1" w:styleId="56">
    <w:name w:val="Document Map Char"/>
    <w:link w:val="13"/>
    <w:semiHidden/>
    <w:qFormat/>
    <w:uiPriority w:val="99"/>
    <w:rPr>
      <w:rFonts w:ascii="宋体"/>
      <w:sz w:val="18"/>
      <w:szCs w:val="18"/>
    </w:rPr>
  </w:style>
  <w:style w:type="character" w:customStyle="1" w:styleId="57">
    <w:name w:val="high-light"/>
    <w:basedOn w:val="26"/>
    <w:qFormat/>
    <w:uiPriority w:val="0"/>
  </w:style>
  <w:style w:type="character" w:customStyle="1" w:styleId="58">
    <w:name w:val="Heading 3 Char"/>
    <w:link w:val="4"/>
    <w:qFormat/>
    <w:uiPriority w:val="9"/>
    <w:rPr>
      <w:b/>
      <w:bCs/>
      <w:sz w:val="32"/>
      <w:szCs w:val="32"/>
    </w:rPr>
  </w:style>
  <w:style w:type="character" w:customStyle="1" w:styleId="59">
    <w:name w:val="Heading 1 Char"/>
    <w:link w:val="2"/>
    <w:qFormat/>
    <w:uiPriority w:val="99"/>
    <w:rPr>
      <w:rFonts w:ascii="Arial" w:hAnsi="Arial" w:eastAsia="黑体"/>
      <w:b/>
      <w:bCs/>
      <w:sz w:val="30"/>
      <w:szCs w:val="30"/>
      <w:lang w:val="zh-CN"/>
    </w:rPr>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0"/>
    <w:link w:val="90"/>
    <w:qFormat/>
    <w:uiPriority w:val="0"/>
    <w:rPr>
      <w:b/>
    </w:rPr>
  </w:style>
  <w:style w:type="paragraph" w:customStyle="1" w:styleId="64">
    <w:name w:val="无间隔1"/>
    <w:qFormat/>
    <w:uiPriority w:val="99"/>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rPr>
      <w:rFonts w:ascii="Times New Roman" w:hAnsi="Times New Roman" w:eastAsia="宋体" w:cs="Times New Roman"/>
      <w:sz w:val="22"/>
      <w:szCs w:val="22"/>
      <w:lang w:val="en-US" w:eastAsia="zh-CN" w:bidi="ar-SA"/>
    </w:rPr>
  </w:style>
  <w:style w:type="paragraph" w:customStyle="1" w:styleId="73">
    <w:name w:val="No Spacing1"/>
    <w:qFormat/>
    <w:uiPriority w:val="1"/>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rPr>
      <w:rFonts w:ascii="Times New Roman" w:hAnsi="Times New Roman" w:eastAsia="宋体" w:cs="Times New Roman"/>
      <w:sz w:val="22"/>
      <w:szCs w:val="22"/>
      <w:lang w:val="en-US" w:eastAsia="zh-CN" w:bidi="ar-SA"/>
    </w:rPr>
  </w:style>
  <w:style w:type="paragraph" w:customStyle="1" w:styleId="77">
    <w:name w:val="_Style 1"/>
    <w:qFormat/>
    <w:uiPriority w:val="99"/>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38"/>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7"/>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emf"/><Relationship Id="rId7" Type="http://schemas.openxmlformats.org/officeDocument/2006/relationships/oleObject" Target="embeddings/oleObject2.bin"/><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oleObject" Target="embeddings/oleObject6.bin"/><Relationship Id="rId15" Type="http://schemas.openxmlformats.org/officeDocument/2006/relationships/image" Target="media/image7.emf"/><Relationship Id="rId14" Type="http://schemas.openxmlformats.org/officeDocument/2006/relationships/oleObject" Target="embeddings/oleObject5.bin"/><Relationship Id="rId13" Type="http://schemas.openxmlformats.org/officeDocument/2006/relationships/image" Target="media/image6.emf"/><Relationship Id="rId12" Type="http://schemas.openxmlformats.org/officeDocument/2006/relationships/oleObject" Target="embeddings/oleObject4.bin"/><Relationship Id="rId11" Type="http://schemas.openxmlformats.org/officeDocument/2006/relationships/image" Target="media/image5.png"/><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8A9135-DD19-4F2C-95EB-31E2D2C564FF}">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18</Pages>
  <Words>7046</Words>
  <Characters>40165</Characters>
  <Lines>334</Lines>
  <Paragraphs>94</Paragraphs>
  <TotalTime>2</TotalTime>
  <ScaleCrop>false</ScaleCrop>
  <LinksUpToDate>false</LinksUpToDate>
  <CharactersWithSpaces>47117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2021-01-18T09:29:00Z</dcterms:created>
  <dc:creator>ZTE</dc:creator>
  <cp:lastModifiedBy>yaoke3</cp:lastModifiedBy>
  <dcterms:modified xsi:type="dcterms:W3CDTF">2021-01-19T03:03:40Z</dcterms:modified>
  <dc:title>3GPP TSG-RAN WG1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